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5"/>
        <w:tblW w:w="12894" w:type="dxa"/>
        <w:jc w:val="center"/>
        <w:tblInd w:w="0" w:type="dxa"/>
        <w:tblLayout w:type="fixed"/>
        <w:tblCellMar>
          <w:top w:w="0" w:type="dxa"/>
          <w:left w:w="0" w:type="dxa"/>
          <w:bottom w:w="0" w:type="dxa"/>
          <w:right w:w="0" w:type="dxa"/>
        </w:tblCellMar>
      </w:tblPr>
      <w:tblGrid>
        <w:gridCol w:w="745"/>
        <w:gridCol w:w="1168"/>
        <w:gridCol w:w="1119"/>
        <w:gridCol w:w="511"/>
        <w:gridCol w:w="652"/>
        <w:gridCol w:w="431"/>
        <w:gridCol w:w="1209"/>
        <w:gridCol w:w="681"/>
        <w:gridCol w:w="589"/>
        <w:gridCol w:w="695"/>
        <w:gridCol w:w="1403"/>
        <w:gridCol w:w="1581"/>
        <w:gridCol w:w="1122"/>
        <w:gridCol w:w="988"/>
      </w:tblGrid>
      <w:tr>
        <w:tblPrEx>
          <w:tblLayout w:type="fixed"/>
          <w:tblCellMar>
            <w:top w:w="0" w:type="dxa"/>
            <w:left w:w="0" w:type="dxa"/>
            <w:bottom w:w="0" w:type="dxa"/>
            <w:right w:w="0" w:type="dxa"/>
          </w:tblCellMar>
        </w:tblPrEx>
        <w:trPr>
          <w:trHeight w:val="312" w:hRule="atLeast"/>
          <w:jc w:val="center"/>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部门（单位）名称</w:t>
            </w:r>
          </w:p>
        </w:tc>
        <w:tc>
          <w:tcPr>
            <w:tcW w:w="9862"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中共香河县委组织部</w:t>
            </w:r>
          </w:p>
        </w:tc>
      </w:tr>
      <w:tr>
        <w:tblPrEx>
          <w:tblLayout w:type="fixed"/>
          <w:tblCellMar>
            <w:top w:w="0" w:type="dxa"/>
            <w:left w:w="0" w:type="dxa"/>
            <w:bottom w:w="0" w:type="dxa"/>
            <w:right w:w="0" w:type="dxa"/>
          </w:tblCellMar>
        </w:tblPrEx>
        <w:trPr>
          <w:trHeight w:val="300" w:hRule="atLeast"/>
          <w:jc w:val="center"/>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联系人</w:t>
            </w:r>
          </w:p>
        </w:tc>
        <w:tc>
          <w:tcPr>
            <w:tcW w:w="3484"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邵亚明</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13930681314</w:t>
            </w:r>
          </w:p>
        </w:tc>
      </w:tr>
      <w:tr>
        <w:tblPrEx>
          <w:tblLayout w:type="fixed"/>
          <w:tblCellMar>
            <w:top w:w="0" w:type="dxa"/>
            <w:left w:w="0" w:type="dxa"/>
            <w:bottom w:w="0" w:type="dxa"/>
            <w:right w:w="0" w:type="dxa"/>
          </w:tblCellMar>
        </w:tblPrEx>
        <w:trPr>
          <w:trHeight w:val="300" w:hRule="atLeast"/>
          <w:jc w:val="center"/>
        </w:trPr>
        <w:tc>
          <w:tcPr>
            <w:tcW w:w="3032"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评价时段</w:t>
            </w:r>
          </w:p>
        </w:tc>
        <w:tc>
          <w:tcPr>
            <w:tcW w:w="9862"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20"/>
                <w:rFonts w:eastAsia="仿宋_GB2312"/>
                <w:lang w:eastAsia="zh-CN"/>
              </w:rPr>
              <w:t xml:space="preserve">  2019</w:t>
            </w:r>
            <w:r>
              <w:rPr>
                <w:rStyle w:val="19"/>
                <w:rFonts w:ascii="Times New Roman"/>
                <w:lang w:eastAsia="zh-CN"/>
              </w:rPr>
              <w:t>年</w:t>
            </w:r>
            <w:r>
              <w:rPr>
                <w:rStyle w:val="20"/>
                <w:rFonts w:eastAsia="仿宋_GB2312"/>
                <w:lang w:eastAsia="zh-CN"/>
              </w:rPr>
              <w:t xml:space="preserve"> 1 </w:t>
            </w:r>
            <w:r>
              <w:rPr>
                <w:rStyle w:val="19"/>
                <w:rFonts w:ascii="Times New Roman"/>
                <w:lang w:eastAsia="zh-CN"/>
              </w:rPr>
              <w:t>月</w:t>
            </w:r>
            <w:r>
              <w:rPr>
                <w:rStyle w:val="20"/>
                <w:rFonts w:eastAsia="仿宋_GB2312"/>
                <w:lang w:eastAsia="zh-CN"/>
              </w:rPr>
              <w:t xml:space="preserve">  1 </w:t>
            </w:r>
            <w:r>
              <w:rPr>
                <w:rStyle w:val="19"/>
                <w:rFonts w:ascii="Times New Roman"/>
                <w:lang w:eastAsia="zh-CN"/>
              </w:rPr>
              <w:t>日</w:t>
            </w:r>
            <w:r>
              <w:rPr>
                <w:rStyle w:val="20"/>
                <w:rFonts w:eastAsia="仿宋_GB2312"/>
                <w:lang w:eastAsia="zh-CN"/>
              </w:rPr>
              <w:t xml:space="preserve"> </w:t>
            </w:r>
            <w:r>
              <w:rPr>
                <w:rStyle w:val="19"/>
                <w:rFonts w:ascii="Times New Roman"/>
                <w:lang w:eastAsia="zh-CN"/>
              </w:rPr>
              <w:t>至</w:t>
            </w:r>
            <w:r>
              <w:rPr>
                <w:rStyle w:val="20"/>
                <w:rFonts w:eastAsia="仿宋_GB2312"/>
                <w:lang w:eastAsia="zh-CN"/>
              </w:rPr>
              <w:t xml:space="preserve">  2019</w:t>
            </w:r>
            <w:r>
              <w:rPr>
                <w:rStyle w:val="19"/>
                <w:rFonts w:ascii="Times New Roman"/>
                <w:lang w:eastAsia="zh-CN"/>
              </w:rPr>
              <w:t>年</w:t>
            </w:r>
            <w:r>
              <w:rPr>
                <w:rStyle w:val="20"/>
                <w:rFonts w:eastAsia="仿宋_GB2312"/>
                <w:lang w:eastAsia="zh-CN"/>
              </w:rPr>
              <w:t xml:space="preserve"> 12 </w:t>
            </w:r>
            <w:r>
              <w:rPr>
                <w:rStyle w:val="19"/>
                <w:rFonts w:ascii="Times New Roman"/>
                <w:lang w:eastAsia="zh-CN"/>
              </w:rPr>
              <w:t>月</w:t>
            </w:r>
            <w:r>
              <w:rPr>
                <w:rStyle w:val="20"/>
                <w:rFonts w:eastAsia="仿宋_GB2312"/>
                <w:lang w:eastAsia="zh-CN"/>
              </w:rPr>
              <w:t xml:space="preserve"> 31 </w:t>
            </w:r>
            <w:r>
              <w:rPr>
                <w:rStyle w:val="19"/>
                <w:rFonts w:ascii="Times New Roman"/>
                <w:lang w:eastAsia="zh-CN"/>
              </w:rPr>
              <w:t>日</w:t>
            </w:r>
          </w:p>
        </w:tc>
      </w:tr>
      <w:tr>
        <w:tblPrEx>
          <w:tblLayout w:type="fixed"/>
          <w:tblCellMar>
            <w:top w:w="0" w:type="dxa"/>
            <w:left w:w="0" w:type="dxa"/>
            <w:bottom w:w="0" w:type="dxa"/>
            <w:right w:w="0" w:type="dxa"/>
          </w:tblCellMar>
        </w:tblPrEx>
        <w:trPr>
          <w:trHeight w:val="300" w:hRule="atLeast"/>
          <w:jc w:val="center"/>
        </w:trPr>
        <w:tc>
          <w:tcPr>
            <w:tcW w:w="1913"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9"/>
                <w:rFonts w:ascii="Times New Roman"/>
                <w:lang w:eastAsia="zh-CN"/>
              </w:rPr>
              <w:t>年度部门（单位）预算执行情况</w:t>
            </w:r>
          </w:p>
        </w:tc>
        <w:tc>
          <w:tcPr>
            <w:tcW w:w="4603"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预算支出（万元）</w:t>
            </w: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决算数</w:t>
            </w:r>
            <w:r>
              <w:rPr>
                <w:rFonts w:eastAsia="仿宋_GB2312"/>
                <w:color w:val="000000"/>
                <w:sz w:val="18"/>
                <w:szCs w:val="18"/>
                <w:lang w:eastAsia="zh-CN"/>
              </w:rPr>
              <w:t xml:space="preserve"> </w:t>
            </w: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4060.7</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3546.3</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3546.3</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1847.69</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1692.21</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1692.21</w:t>
            </w: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288.64</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1945.61</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1902.44</w:t>
            </w:r>
          </w:p>
        </w:tc>
      </w:tr>
      <w:tr>
        <w:tblPrEx>
          <w:tblLayout w:type="fixed"/>
          <w:tblCellMar>
            <w:top w:w="0" w:type="dxa"/>
            <w:left w:w="0" w:type="dxa"/>
            <w:bottom w:w="0" w:type="dxa"/>
            <w:right w:w="0" w:type="dxa"/>
          </w:tblCellMar>
        </w:tblPrEx>
        <w:trPr>
          <w:trHeight w:val="9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1924.37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18.2</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18.2</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292" w:hRule="atLeast"/>
          <w:jc w:val="center"/>
        </w:trPr>
        <w:tc>
          <w:tcPr>
            <w:tcW w:w="1913"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63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4060.7</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3564.5</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3564.5</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4060.7</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3637.82</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3594.65</w:t>
            </w:r>
          </w:p>
        </w:tc>
      </w:tr>
      <w:tr>
        <w:tblPrEx>
          <w:tblLayout w:type="fixed"/>
          <w:tblCellMar>
            <w:top w:w="0" w:type="dxa"/>
            <w:left w:w="0" w:type="dxa"/>
            <w:bottom w:w="0" w:type="dxa"/>
            <w:right w:w="0" w:type="dxa"/>
          </w:tblCellMar>
        </w:tblPrEx>
        <w:trPr>
          <w:trHeight w:val="491" w:hRule="atLeast"/>
          <w:jc w:val="center"/>
        </w:trPr>
        <w:tc>
          <w:tcPr>
            <w:tcW w:w="745" w:type="dxa"/>
            <w:vMerge w:val="restart"/>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年度主要任务</w:t>
            </w:r>
          </w:p>
        </w:tc>
        <w:tc>
          <w:tcPr>
            <w:tcW w:w="1168" w:type="dxa"/>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重点工作任务名称</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9"/>
                <w:rFonts w:ascii="Times New Roman"/>
                <w:lang w:eastAsia="zh-CN"/>
              </w:rPr>
              <w:t>重点工作任务完成情况</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9"/>
                <w:rFonts w:ascii="Times New Roman"/>
                <w:lang w:eastAsia="zh-CN"/>
              </w:rPr>
              <w:t>拟对应安排的重点项目</w:t>
            </w:r>
            <w:r>
              <w:rPr>
                <w:rStyle w:val="20"/>
                <w:rFonts w:eastAsia="仿宋_GB2312"/>
                <w:lang w:eastAsia="zh-CN"/>
              </w:rPr>
              <w:t xml:space="preserve">  </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项目完成情况</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预算数</w:t>
            </w:r>
          </w:p>
          <w:p>
            <w:pPr>
              <w:jc w:val="center"/>
              <w:textAlignment w:val="center"/>
              <w:rPr>
                <w:rFonts w:eastAsia="仿宋_GB2312"/>
                <w:color w:val="000000"/>
                <w:sz w:val="18"/>
                <w:szCs w:val="18"/>
              </w:rPr>
            </w:pPr>
            <w:r>
              <w:rPr>
                <w:rStyle w:val="19"/>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9"/>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执行数</w:t>
            </w:r>
          </w:p>
          <w:p>
            <w:pPr>
              <w:jc w:val="center"/>
              <w:textAlignment w:val="center"/>
              <w:rPr>
                <w:rFonts w:eastAsia="仿宋_GB2312"/>
                <w:color w:val="000000"/>
                <w:sz w:val="18"/>
                <w:szCs w:val="18"/>
              </w:rPr>
            </w:pPr>
            <w:r>
              <w:rPr>
                <w:rStyle w:val="19"/>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其中：财政拨款</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nil"/>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党组织建设及党员教育管理</w:t>
            </w: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党组织建设及党员教育管理</w:t>
            </w: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eastAsia" w:ascii="仿宋" w:hAnsi="仿宋" w:eastAsia="仿宋" w:cs="仿宋"/>
                <w:color w:val="000000"/>
                <w:sz w:val="18"/>
                <w:szCs w:val="18"/>
                <w:lang w:val="en-US" w:eastAsia="zh-CN"/>
              </w:rPr>
            </w:pPr>
          </w:p>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党组织建设及党员教育管理</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rPr>
              <w:t>按照要求及时足额发放</w:t>
            </w:r>
            <w:r>
              <w:rPr>
                <w:rFonts w:hint="eastAsia" w:ascii="仿宋" w:hAnsi="仿宋" w:eastAsia="仿宋" w:cs="仿宋"/>
                <w:color w:val="000000"/>
                <w:sz w:val="18"/>
                <w:szCs w:val="18"/>
                <w:lang w:val="en-US" w:eastAsia="zh-CN"/>
              </w:rPr>
              <w:t>了</w:t>
            </w:r>
            <w:r>
              <w:rPr>
                <w:rFonts w:hint="eastAsia" w:ascii="仿宋" w:hAnsi="仿宋" w:eastAsia="仿宋" w:cs="仿宋"/>
                <w:color w:val="000000"/>
                <w:sz w:val="18"/>
                <w:szCs w:val="18"/>
              </w:rPr>
              <w:t>此项补助资金，用于改善我县建国前入党老党员生活状况，解决生活中遇到的难题。</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建国前入党老党员生活补助</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我部按照年初工作安排，于“七一”及春节，县领导及有关单位领导对建国前入党老党员进行了慰问，并按标准足额及时将慰问金发放到老党员手中。</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3.51</w:t>
            </w:r>
          </w:p>
        </w:tc>
      </w:tr>
      <w:tr>
        <w:tblPrEx>
          <w:tblLayout w:type="fixed"/>
          <w:tblCellMar>
            <w:top w:w="0" w:type="dxa"/>
            <w:left w:w="0" w:type="dxa"/>
            <w:bottom w:w="0" w:type="dxa"/>
            <w:right w:w="0" w:type="dxa"/>
          </w:tblCellMar>
        </w:tblPrEx>
        <w:trPr>
          <w:trHeight w:val="701" w:hRule="atLeast"/>
          <w:jc w:val="center"/>
        </w:trPr>
        <w:tc>
          <w:tcPr>
            <w:tcW w:w="745"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全县408个远程教育终端站点正常运行，广大党员群众能够按时、按量、按质使用远程教育终端学习。</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农村党员现代远程教育网络经费</w:t>
            </w:r>
          </w:p>
        </w:tc>
        <w:tc>
          <w:tcPr>
            <w:tcW w:w="2910" w:type="dxa"/>
            <w:gridSpan w:val="4"/>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我部年度内分两次支付我县联通公司网络使用费用，剩余两万元用于维修机顶盒，年内所有经费全部支出。</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18.32</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18.32</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18.32</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18.32</w:t>
            </w:r>
          </w:p>
        </w:tc>
      </w:tr>
      <w:tr>
        <w:tblPrEx>
          <w:tblLayout w:type="fixed"/>
          <w:tblCellMar>
            <w:top w:w="0" w:type="dxa"/>
            <w:left w:w="0" w:type="dxa"/>
            <w:bottom w:w="0" w:type="dxa"/>
            <w:right w:w="0" w:type="dxa"/>
          </w:tblCellMar>
        </w:tblPrEx>
        <w:trPr>
          <w:trHeight w:val="356" w:hRule="atLeast"/>
          <w:jc w:val="center"/>
        </w:trPr>
        <w:tc>
          <w:tcPr>
            <w:tcW w:w="745" w:type="dxa"/>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通过下拨项目资金，帮助了村街更好的建设党建阵地，持续巩固提升党建阵地建设水平。</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基层组织活动场所维护经费</w:t>
            </w:r>
          </w:p>
        </w:tc>
        <w:tc>
          <w:tcPr>
            <w:tcW w:w="2910" w:type="dxa"/>
            <w:gridSpan w:val="4"/>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年底将此项经费拨付两个乡镇用于支持村级组织活动场所建设维护，我部及时组织相关股室实地进行查看验收，确保资金用在实处。</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w:t>
            </w:r>
          </w:p>
        </w:tc>
      </w:tr>
      <w:tr>
        <w:tblPrEx>
          <w:tblLayout w:type="fixed"/>
          <w:tblCellMar>
            <w:top w:w="0" w:type="dxa"/>
            <w:left w:w="0" w:type="dxa"/>
            <w:bottom w:w="0" w:type="dxa"/>
            <w:right w:w="0" w:type="dxa"/>
          </w:tblCellMar>
        </w:tblPrEx>
        <w:trPr>
          <w:trHeight w:val="356" w:hRule="atLeast"/>
          <w:jc w:val="center"/>
        </w:trPr>
        <w:tc>
          <w:tcPr>
            <w:tcW w:w="745" w:type="dxa"/>
            <w:vMerge w:val="continue"/>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tc>
        <w:tc>
          <w:tcPr>
            <w:tcW w:w="1168" w:type="dxa"/>
            <w:vMerge w:val="continue"/>
            <w:tcBorders>
              <w:left w:val="single" w:color="000000" w:sz="4" w:space="0"/>
              <w:right w:val="single" w:color="000000" w:sz="4" w:space="0"/>
            </w:tcBorders>
            <w:tcMar>
              <w:top w:w="12" w:type="dxa"/>
              <w:left w:w="12" w:type="dxa"/>
              <w:right w:w="12" w:type="dxa"/>
            </w:tcMar>
            <w:vAlign w:val="center"/>
          </w:tcPr>
          <w:p/>
        </w:tc>
        <w:tc>
          <w:tcPr>
            <w:tcW w:w="1119"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拍摄一批看得见、信得过、能学习的典型教材，推进基层党组织建设、提高党员群众素质。</w:t>
            </w:r>
          </w:p>
        </w:tc>
        <w:tc>
          <w:tcPr>
            <w:tcW w:w="1163" w:type="dxa"/>
            <w:gridSpan w:val="2"/>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农村党员现代远程教育县级平台运行经费</w:t>
            </w:r>
          </w:p>
        </w:tc>
        <w:tc>
          <w:tcPr>
            <w:tcW w:w="2910" w:type="dxa"/>
            <w:gridSpan w:val="4"/>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按照年初工作安排，共拍摄7部电教宣传片，完成了全年拍摄任务，并支付党建APP网络服务费等。</w:t>
            </w:r>
          </w:p>
        </w:tc>
        <w:tc>
          <w:tcPr>
            <w:tcW w:w="695"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default" w:ascii="仿宋" w:hAnsi="仿宋" w:eastAsia="仿宋" w:cs="仿宋"/>
                <w:sz w:val="18"/>
                <w:szCs w:val="18"/>
                <w:lang w:val="en-US" w:eastAsia="zh-CN"/>
              </w:rPr>
              <w:t>27.74</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default" w:ascii="仿宋" w:hAnsi="仿宋" w:eastAsia="仿宋" w:cs="仿宋"/>
                <w:sz w:val="18"/>
                <w:szCs w:val="18"/>
                <w:lang w:val="en-US" w:eastAsia="zh-CN"/>
              </w:rPr>
              <w:t>27.74</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default" w:ascii="仿宋" w:hAnsi="仿宋" w:eastAsia="仿宋" w:cs="仿宋"/>
                <w:sz w:val="18"/>
                <w:szCs w:val="18"/>
                <w:lang w:val="en-US" w:eastAsia="zh-CN"/>
              </w:rPr>
              <w:t>27.</w:t>
            </w:r>
            <w:r>
              <w:rPr>
                <w:rFonts w:hint="eastAsia" w:ascii="仿宋" w:hAnsi="仿宋" w:eastAsia="仿宋" w:cs="仿宋"/>
                <w:sz w:val="18"/>
                <w:szCs w:val="18"/>
                <w:lang w:val="en-US" w:eastAsia="zh-CN"/>
              </w:rPr>
              <w:t>01</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default" w:ascii="仿宋" w:hAnsi="仿宋" w:eastAsia="仿宋" w:cs="仿宋"/>
                <w:sz w:val="18"/>
                <w:szCs w:val="18"/>
                <w:lang w:val="en-US" w:eastAsia="zh-CN"/>
              </w:rPr>
              <w:t>27.01</w:t>
            </w:r>
          </w:p>
        </w:tc>
      </w:tr>
      <w:tr>
        <w:tblPrEx>
          <w:tblLayout w:type="fixed"/>
          <w:tblCellMar>
            <w:top w:w="0" w:type="dxa"/>
            <w:left w:w="0" w:type="dxa"/>
            <w:bottom w:w="0" w:type="dxa"/>
            <w:right w:w="0" w:type="dxa"/>
          </w:tblCellMar>
        </w:tblPrEx>
        <w:trPr>
          <w:trHeight w:val="755" w:hRule="atLeast"/>
          <w:jc w:val="center"/>
        </w:trPr>
        <w:tc>
          <w:tcPr>
            <w:tcW w:w="745"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通过开展此次表彰，在全县营造了“比、学、赶、超”创先争优的浓厚氛围</w:t>
            </w:r>
          </w:p>
        </w:tc>
        <w:tc>
          <w:tcPr>
            <w:tcW w:w="1163"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“七一”表彰经费</w:t>
            </w:r>
          </w:p>
        </w:tc>
        <w:tc>
          <w:tcPr>
            <w:tcW w:w="2910" w:type="dxa"/>
            <w:gridSpan w:val="4"/>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本年度“七一”一次性支出全部资金，用于支付建党98周年暨“一先两优”颁奖典礼费用，在全县营造了“比、学、赶、超”创先争优的浓厚氛围。</w:t>
            </w:r>
          </w:p>
        </w:tc>
        <w:tc>
          <w:tcPr>
            <w:tcW w:w="695"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403"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1581"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c>
          <w:tcPr>
            <w:tcW w:w="2110" w:type="dxa"/>
            <w:gridSpan w:val="2"/>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通过发放村“两委”主要干部正常离任生活补贴，为村干部提供离任保障，有效激发了村干部干事热情。</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村干部离任养老金</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按照乡镇每月上报统计表，汇总后每月按时及时发放村干部离任养老金，并全部及时足额发放到位。</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126.03541</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126.03541</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126.03541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126.03541</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auto"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通过年底对各后进村进行评估验收，按照整顿情况差别落实奖补资金，有效激发了后进村整顿效果，提升了基层党建工作水平。</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后进村整顿治理奖补资金</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年底我部组织专人对后进村进行了验收评估，并按照情况确定了奖补金额，并及时将资金落实到位。</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200</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通过落实农村党建阵地“提升工程”经费，帮助了村街更好的建设党建阵地，巩固提升了党建阵地建设水平。</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推进农村党建阵地“提升工程”经费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我部按照年初计划，为全县23个村街安装了电子显示屏，以及支付采购委托费用，并为全县283个基层远教站点定做铜牌，剩余金额用于待验收结束后予以支付。</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292.246</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292.246</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通过打造非公党建示范点，党组织书记、党建工作指导员进行培训，基层党建工作水平得到提高。</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非公企业和社会组织党组织工作经费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我部按照年初安排，为全县新华街道办、民政局、住建局、市场监督管理局所辖4家非公企业拨付了非公企业和社会组织党组织工作经费，并支付非公工委办公设耗材费用，非公党建水平及质量得到了提升。</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110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51.97577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51.97577</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通过落实基层组织活动经费（村星级津贴），对基层活动经费进行有效补充，提升基层党组织有钱办事能力，提高党建工作水平。</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基层组织活动经费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我部按照年初工作安排，结合全县各镇、街道、园区考核意见，于6月份、12月份分两批将基层组织活动经费（村星级津贴）足额落实到位。</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300</w:t>
            </w:r>
          </w:p>
        </w:tc>
      </w:tr>
      <w:tr>
        <w:tblPrEx>
          <w:tblLayout w:type="fixed"/>
          <w:tblCellMar>
            <w:top w:w="0" w:type="dxa"/>
            <w:left w:w="0" w:type="dxa"/>
            <w:bottom w:w="0" w:type="dxa"/>
            <w:right w:w="0" w:type="dxa"/>
          </w:tblCellMar>
        </w:tblPrEx>
        <w:trPr>
          <w:trHeight w:val="397"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干部队伍管理</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default" w:ascii="仿宋" w:hAnsi="仿宋" w:eastAsia="仿宋" w:cs="仿宋"/>
                <w:sz w:val="18"/>
                <w:szCs w:val="18"/>
                <w:lang w:val="en-US" w:eastAsia="zh-CN"/>
              </w:rPr>
              <w:t>通过项目的开展，乡科级领导班子及领导干部工作积极性、主动性有所提升。</w:t>
            </w:r>
          </w:p>
        </w:tc>
        <w:tc>
          <w:tcPr>
            <w:tcW w:w="116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领导班子考核表彰奖励经费</w:t>
            </w:r>
          </w:p>
        </w:tc>
        <w:tc>
          <w:tcPr>
            <w:tcW w:w="29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年末，按照年初计划开展了县科级领导班子及领导干部年度综合考核，并按标准为被评委优秀的领导班子、领导干部发放了一次性考核奖金，对承担考核指标在全市排位前三的县直部门领导班子发放了一次性奖金。</w:t>
            </w:r>
          </w:p>
        </w:tc>
        <w:tc>
          <w:tcPr>
            <w:tcW w:w="69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198.85</w:t>
            </w:r>
          </w:p>
        </w:tc>
        <w:tc>
          <w:tcPr>
            <w:tcW w:w="1403"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198.85</w:t>
            </w:r>
          </w:p>
        </w:tc>
        <w:tc>
          <w:tcPr>
            <w:tcW w:w="158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198.85</w:t>
            </w:r>
          </w:p>
        </w:tc>
        <w:tc>
          <w:tcPr>
            <w:tcW w:w="2110"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198.85</w:t>
            </w:r>
          </w:p>
        </w:tc>
      </w:tr>
      <w:tr>
        <w:tblPrEx>
          <w:tblLayout w:type="fixed"/>
          <w:tblCellMar>
            <w:top w:w="0" w:type="dxa"/>
            <w:left w:w="0" w:type="dxa"/>
            <w:bottom w:w="0" w:type="dxa"/>
            <w:right w:w="0" w:type="dxa"/>
          </w:tblCellMar>
        </w:tblPrEx>
        <w:trPr>
          <w:trHeight w:val="1894"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干部队伍管理</w:t>
            </w:r>
          </w:p>
        </w:tc>
        <w:tc>
          <w:tcPr>
            <w:tcW w:w="11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提高了全县公务员干部依法行政，综合管理能力。</w:t>
            </w:r>
          </w:p>
        </w:tc>
        <w:tc>
          <w:tcPr>
            <w:tcW w:w="1163" w:type="dxa"/>
            <w:gridSpan w:val="2"/>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公务员培训经费</w:t>
            </w:r>
          </w:p>
        </w:tc>
        <w:tc>
          <w:tcPr>
            <w:tcW w:w="2910" w:type="dxa"/>
            <w:gridSpan w:val="4"/>
            <w:tcBorders>
              <w:top w:val="single" w:color="000000" w:sz="4" w:space="0"/>
              <w:left w:val="single" w:color="000000" w:sz="4" w:space="0"/>
              <w:bottom w:val="single" w:color="auto" w:sz="4" w:space="0"/>
              <w:right w:val="single" w:color="auto" w:sz="4" w:space="0"/>
            </w:tcBorders>
            <w:tcMar>
              <w:top w:w="12" w:type="dxa"/>
              <w:left w:w="12" w:type="dxa"/>
              <w:right w:w="12" w:type="dxa"/>
            </w:tcMar>
            <w:vAlign w:val="center"/>
          </w:tcPr>
          <w:p>
            <w:pPr>
              <w:jc w:val="left"/>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从年初至年末，我部共举办《传承红色基因、永葆政治本色，矢志不渝跟党走（延安）》等三期专题培训班，并两次为公务员购置学习资料。</w:t>
            </w:r>
          </w:p>
        </w:tc>
        <w:tc>
          <w:tcPr>
            <w:tcW w:w="695" w:type="dxa"/>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100</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100</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68.6265</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default" w:ascii="仿宋" w:hAnsi="仿宋" w:eastAsia="仿宋" w:cs="仿宋"/>
                <w:color w:val="000000"/>
                <w:sz w:val="18"/>
                <w:szCs w:val="18"/>
                <w:lang w:val="en-US" w:eastAsia="zh-CN"/>
              </w:rPr>
              <w:t>68.6265</w:t>
            </w:r>
          </w:p>
        </w:tc>
      </w:tr>
      <w:tr>
        <w:tblPrEx>
          <w:tblLayout w:type="fixed"/>
          <w:tblCellMar>
            <w:top w:w="0" w:type="dxa"/>
            <w:left w:w="0" w:type="dxa"/>
            <w:bottom w:w="0" w:type="dxa"/>
            <w:right w:w="0" w:type="dxa"/>
          </w:tblCellMar>
        </w:tblPrEx>
        <w:trPr>
          <w:trHeight w:val="90" w:hRule="atLeast"/>
          <w:jc w:val="center"/>
        </w:trPr>
        <w:tc>
          <w:tcPr>
            <w:tcW w:w="745" w:type="dxa"/>
            <w:vMerge w:val="continue"/>
            <w:tcBorders>
              <w:left w:val="single" w:color="auto" w:sz="4" w:space="0"/>
              <w:bottom w:val="single" w:color="000000" w:sz="4" w:space="0"/>
              <w:right w:val="single" w:color="000000" w:sz="4" w:space="0"/>
            </w:tcBorders>
            <w:tcMar>
              <w:top w:w="12" w:type="dxa"/>
              <w:left w:w="12" w:type="dxa"/>
              <w:right w:w="12" w:type="dxa"/>
            </w:tcMar>
            <w:vAlign w:val="center"/>
          </w:tcPr>
          <w:p>
            <w:pPr>
              <w:jc w:val="center"/>
            </w:pPr>
          </w:p>
        </w:tc>
        <w:tc>
          <w:tcPr>
            <w:tcW w:w="116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p>
        </w:tc>
        <w:tc>
          <w:tcPr>
            <w:tcW w:w="1119" w:type="dxa"/>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提高了全县公务员干部依法行政，综合管理能力。</w:t>
            </w:r>
          </w:p>
          <w:p>
            <w:pPr>
              <w:jc w:val="center"/>
              <w:rPr>
                <w:rFonts w:hint="eastAsia" w:ascii="仿宋" w:hAnsi="仿宋" w:eastAsia="仿宋" w:cs="仿宋"/>
                <w:sz w:val="18"/>
                <w:szCs w:val="18"/>
                <w:lang w:val="en-US" w:eastAsia="zh-CN"/>
              </w:rPr>
            </w:pPr>
          </w:p>
        </w:tc>
        <w:tc>
          <w:tcPr>
            <w:tcW w:w="116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干部教育培训经费</w:t>
            </w:r>
          </w:p>
        </w:tc>
        <w:tc>
          <w:tcPr>
            <w:tcW w:w="2910" w:type="dxa"/>
            <w:gridSpan w:val="4"/>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lef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从年初至年末，我部共举办《乡村振兴暨产业扶贫》等多期专题培训班，并为公务员购置学习资料。</w:t>
            </w:r>
          </w:p>
        </w:tc>
        <w:tc>
          <w:tcPr>
            <w:tcW w:w="695" w:type="dxa"/>
            <w:tcBorders>
              <w:top w:val="single" w:color="auto" w:sz="4" w:space="0"/>
              <w:left w:val="single" w:color="auto"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100</w:t>
            </w:r>
          </w:p>
        </w:tc>
        <w:tc>
          <w:tcPr>
            <w:tcW w:w="1403"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100</w:t>
            </w:r>
          </w:p>
        </w:tc>
        <w:tc>
          <w:tcPr>
            <w:tcW w:w="1581" w:type="dxa"/>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100</w:t>
            </w:r>
          </w:p>
        </w:tc>
        <w:tc>
          <w:tcPr>
            <w:tcW w:w="2110" w:type="dxa"/>
            <w:gridSpan w:val="2"/>
            <w:tcBorders>
              <w:top w:val="single" w:color="auto" w:sz="4" w:space="0"/>
              <w:left w:val="single" w:color="000000" w:sz="4" w:space="0"/>
              <w:bottom w:val="single" w:color="auto" w:sz="4" w:space="0"/>
              <w:right w:val="single" w:color="auto" w:sz="4" w:space="0"/>
            </w:tcBorders>
            <w:tcMar>
              <w:top w:w="12" w:type="dxa"/>
              <w:left w:w="12" w:type="dxa"/>
              <w:right w:w="12" w:type="dxa"/>
            </w:tcMar>
            <w:vAlign w:val="center"/>
          </w:tcPr>
          <w:p>
            <w:pPr>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100</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Style w:val="19"/>
                <w:rFonts w:hint="eastAsia" w:ascii="Times New Roman" w:cs="仿宋_GB2312"/>
                <w:szCs w:val="18"/>
                <w:lang w:eastAsia="zh-CN"/>
              </w:rPr>
              <w:t>离退休干部政策及服务</w:t>
            </w:r>
          </w:p>
        </w:tc>
        <w:tc>
          <w:tcPr>
            <w:tcW w:w="1119" w:type="dxa"/>
            <w:vMerge w:val="restart"/>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Style w:val="19"/>
                <w:rFonts w:hint="eastAsia" w:ascii="Times New Roman" w:cs="仿宋_GB2312"/>
                <w:lang w:eastAsia="zh-CN"/>
              </w:rPr>
              <w:t>落实完成各项政策完成了离休干部医疗费报销及慰问金发放</w:t>
            </w: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Style w:val="19"/>
                <w:rFonts w:hint="eastAsia" w:ascii="Times New Roman" w:cs="仿宋_GB2312"/>
                <w:szCs w:val="18"/>
                <w:lang w:eastAsia="zh-CN"/>
              </w:rPr>
              <w:t>离退休干部春节慰问金</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全部按标准发放到位</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11.6</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11.7</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离退休干部重阳节慰问金</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全部按标准发放到位</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10.9</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10.9</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特困离退休干部帮扶资金</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按政策落实公开发放</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Style w:val="19"/>
                <w:rFonts w:hint="eastAsia" w:ascii="Times New Roman" w:cs="仿宋_GB2312"/>
                <w:szCs w:val="18"/>
                <w:lang w:eastAsia="zh-CN"/>
              </w:rPr>
              <w:t>离休干部医疗费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全部按政策要求进行核销</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216</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216</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348.58</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348.58</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r>
              <w:rPr>
                <w:rFonts w:hint="eastAsia" w:eastAsia="仿宋_GB2312"/>
                <w:color w:val="000000"/>
                <w:sz w:val="18"/>
                <w:szCs w:val="18"/>
                <w:lang w:eastAsia="zh-CN"/>
              </w:rPr>
              <w:t>老年活动阵地建设</w:t>
            </w:r>
          </w:p>
        </w:tc>
        <w:tc>
          <w:tcPr>
            <w:tcW w:w="1119" w:type="dxa"/>
            <w:vMerge w:val="restart"/>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r>
              <w:rPr>
                <w:rFonts w:hint="eastAsia" w:eastAsia="仿宋_GB2312"/>
                <w:color w:val="000000"/>
                <w:sz w:val="18"/>
                <w:szCs w:val="18"/>
                <w:lang w:eastAsia="zh-CN"/>
              </w:rPr>
              <w:t>贯彻执行老年教育工作方针，构建终身教育体系；组织老同志参加青少年教育工作</w:t>
            </w: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关工委业务费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完成了家长学校教学任务，开展了青少年教育活动。</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老年大学业务费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完成了老年大学教学任务</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老年书画研究会业务费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组织完成老干部的书画创作并开展了书画展览</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老区建设促进会经费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7</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restart"/>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老年体育活动</w:t>
            </w:r>
          </w:p>
        </w:tc>
        <w:tc>
          <w:tcPr>
            <w:tcW w:w="1119" w:type="dxa"/>
            <w:vMerge w:val="restart"/>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r>
              <w:rPr>
                <w:rFonts w:hint="eastAsia" w:eastAsia="仿宋_GB2312"/>
                <w:color w:val="000000"/>
                <w:sz w:val="18"/>
                <w:szCs w:val="18"/>
                <w:lang w:eastAsia="zh-CN"/>
              </w:rPr>
              <w:t>宣传发动和组织指导完成老年人参加的各项体育活动</w:t>
            </w: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老年体协业务费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组织开展多次老年体育活动</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11</w:t>
            </w:r>
          </w:p>
        </w:tc>
      </w:tr>
      <w:tr>
        <w:tblPrEx>
          <w:tblLayout w:type="fixed"/>
          <w:tblCellMar>
            <w:top w:w="0" w:type="dxa"/>
            <w:left w:w="0" w:type="dxa"/>
            <w:bottom w:w="0" w:type="dxa"/>
            <w:right w:w="0" w:type="dxa"/>
          </w:tblCellMar>
        </w:tblPrEx>
        <w:trPr>
          <w:trHeight w:val="1604"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68" w:type="dxa"/>
            <w:vMerge w:val="continue"/>
            <w:tcBorders>
              <w:top w:val="single" w:color="000000" w:sz="4" w:space="0"/>
              <w:left w:val="single" w:color="000000"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19" w:type="dxa"/>
            <w:vMerge w:val="continue"/>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jc w:val="center"/>
              <w:textAlignment w:val="center"/>
              <w:rPr>
                <w:rStyle w:val="19"/>
                <w:rFonts w:ascii="Times New Roman"/>
                <w:lang w:eastAsia="zh-CN"/>
              </w:rPr>
            </w:pPr>
          </w:p>
        </w:tc>
        <w:tc>
          <w:tcPr>
            <w:tcW w:w="1163" w:type="dxa"/>
            <w:gridSpan w:val="2"/>
            <w:tcBorders>
              <w:top w:val="single" w:color="000000" w:sz="4" w:space="0"/>
              <w:left w:val="single" w:color="auto" w:sz="4" w:space="0"/>
              <w:bottom w:val="single" w:color="000000" w:sz="4" w:space="0"/>
              <w:right w:val="single" w:color="auto" w:sz="4" w:space="0"/>
            </w:tcBorders>
            <w:tcMar>
              <w:top w:w="12" w:type="dxa"/>
              <w:left w:w="12" w:type="dxa"/>
              <w:right w:w="12" w:type="dxa"/>
            </w:tcMar>
            <w:vAlign w:val="center"/>
          </w:tcPr>
          <w:p>
            <w:pPr>
              <w:textAlignment w:val="center"/>
              <w:rPr>
                <w:rStyle w:val="19"/>
                <w:rFonts w:ascii="Times New Roman"/>
                <w:lang w:eastAsia="zh-CN"/>
              </w:rPr>
            </w:pPr>
            <w:r>
              <w:rPr>
                <w:rFonts w:hint="eastAsia" w:eastAsia="仿宋_GB2312"/>
                <w:color w:val="000000"/>
                <w:sz w:val="18"/>
                <w:szCs w:val="18"/>
                <w:lang w:eastAsia="zh-CN"/>
              </w:rPr>
              <w:t>门球协会活动经费</w:t>
            </w:r>
          </w:p>
        </w:tc>
        <w:tc>
          <w:tcPr>
            <w:tcW w:w="2910" w:type="dxa"/>
            <w:gridSpan w:val="4"/>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rPr>
                <w:rStyle w:val="19"/>
                <w:rFonts w:ascii="Times New Roman"/>
                <w:lang w:eastAsia="zh-CN"/>
              </w:rPr>
            </w:pPr>
            <w:r>
              <w:rPr>
                <w:rFonts w:hint="eastAsia" w:eastAsia="仿宋_GB2312"/>
                <w:color w:val="000000"/>
                <w:sz w:val="18"/>
                <w:szCs w:val="18"/>
                <w:lang w:eastAsia="zh-CN"/>
              </w:rPr>
              <w:t>组织参加多次门球赛</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 w:hAnsi="仿宋" w:eastAsia="仿宋" w:cs="仿宋"/>
                <w:color w:val="000000"/>
                <w:sz w:val="18"/>
                <w:szCs w:val="18"/>
                <w:lang w:val="en-US" w:eastAsia="zh-CN"/>
              </w:rPr>
            </w:pPr>
            <w:r>
              <w:rPr>
                <w:rFonts w:eastAsia="仿宋_GB2312"/>
                <w:color w:val="000000"/>
                <w:sz w:val="18"/>
                <w:szCs w:val="18"/>
                <w:lang w:eastAsia="zh-CN"/>
              </w:rPr>
              <w:t>5</w:t>
            </w:r>
          </w:p>
        </w:tc>
      </w:tr>
      <w:tr>
        <w:tblPrEx>
          <w:tblLayout w:type="fixed"/>
          <w:tblCellMar>
            <w:top w:w="0" w:type="dxa"/>
            <w:left w:w="0" w:type="dxa"/>
            <w:bottom w:w="0" w:type="dxa"/>
            <w:right w:w="0" w:type="dxa"/>
          </w:tblCellMar>
        </w:tblPrEx>
        <w:trPr>
          <w:trHeight w:val="1152" w:hRule="atLeast"/>
          <w:jc w:val="center"/>
        </w:trPr>
        <w:tc>
          <w:tcPr>
            <w:tcW w:w="745" w:type="dxa"/>
            <w:vMerge w:val="continue"/>
            <w:tcBorders>
              <w:top w:val="single" w:color="000000" w:sz="4" w:space="0"/>
              <w:left w:val="single" w:color="auto"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360"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金额合计</w:t>
            </w:r>
          </w:p>
        </w:tc>
        <w:tc>
          <w:tcPr>
            <w:tcW w:w="69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1770.35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1770.35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1862.35</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 w:hAnsi="仿宋" w:eastAsia="仿宋" w:cs="仿宋"/>
                <w:color w:val="000000"/>
                <w:sz w:val="18"/>
                <w:szCs w:val="18"/>
                <w:lang w:val="en-US" w:eastAsia="zh-CN"/>
              </w:rPr>
            </w:pPr>
            <w:r>
              <w:rPr>
                <w:rFonts w:hint="eastAsia" w:ascii="仿宋" w:hAnsi="仿宋" w:eastAsia="仿宋" w:cs="仿宋"/>
                <w:color w:val="000000"/>
                <w:sz w:val="18"/>
                <w:szCs w:val="18"/>
                <w:lang w:val="en-US" w:eastAsia="zh-CN"/>
              </w:rPr>
              <w:t>1862.35</w:t>
            </w:r>
          </w:p>
        </w:tc>
      </w:tr>
    </w:tbl>
    <w:p>
      <w:pPr>
        <w:spacing w:line="40" w:lineRule="exact"/>
      </w:pPr>
    </w:p>
    <w:tbl>
      <w:tblPr>
        <w:tblStyle w:val="5"/>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一级</w:t>
            </w:r>
          </w:p>
          <w:p>
            <w:pPr>
              <w:jc w:val="center"/>
              <w:textAlignment w:val="center"/>
              <w:rPr>
                <w:rFonts w:eastAsia="仿宋_GB2312"/>
                <w:color w:val="000000"/>
                <w:sz w:val="18"/>
                <w:szCs w:val="18"/>
              </w:rPr>
            </w:pPr>
            <w:r>
              <w:rPr>
                <w:rStyle w:val="19"/>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二级</w:t>
            </w:r>
          </w:p>
          <w:p>
            <w:pPr>
              <w:jc w:val="center"/>
              <w:textAlignment w:val="center"/>
              <w:rPr>
                <w:rFonts w:eastAsia="仿宋_GB2312"/>
                <w:color w:val="000000"/>
                <w:sz w:val="18"/>
                <w:szCs w:val="18"/>
              </w:rPr>
            </w:pPr>
            <w:r>
              <w:rPr>
                <w:rStyle w:val="19"/>
                <w:rFonts w:ascii="Times New Roman"/>
                <w:lang w:eastAsia="zh-CN"/>
              </w:rPr>
              <w:t>指标</w:t>
            </w:r>
          </w:p>
        </w:tc>
        <w:tc>
          <w:tcPr>
            <w:tcW w:w="704" w:type="dxa"/>
            <w:tcMar>
              <w:top w:w="12" w:type="dxa"/>
              <w:left w:w="12" w:type="dxa"/>
              <w:right w:w="12" w:type="dxa"/>
            </w:tcMar>
            <w:vAlign w:val="center"/>
          </w:tcPr>
          <w:p>
            <w:pPr>
              <w:jc w:val="center"/>
              <w:textAlignment w:val="center"/>
              <w:rPr>
                <w:rStyle w:val="19"/>
                <w:rFonts w:ascii="Times New Roman"/>
                <w:lang w:eastAsia="zh-CN"/>
              </w:rPr>
            </w:pPr>
            <w:r>
              <w:rPr>
                <w:rStyle w:val="19"/>
                <w:rFonts w:ascii="Times New Roman"/>
                <w:lang w:eastAsia="zh-CN"/>
              </w:rPr>
              <w:t>三级</w:t>
            </w:r>
          </w:p>
          <w:p>
            <w:pPr>
              <w:jc w:val="center"/>
              <w:textAlignment w:val="center"/>
              <w:rPr>
                <w:rFonts w:eastAsia="仿宋_GB2312"/>
                <w:color w:val="000000"/>
                <w:sz w:val="18"/>
                <w:szCs w:val="18"/>
              </w:rPr>
            </w:pPr>
            <w:r>
              <w:rPr>
                <w:rStyle w:val="19"/>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目标值</w:t>
            </w:r>
          </w:p>
        </w:tc>
        <w:tc>
          <w:tcPr>
            <w:tcW w:w="784" w:type="dxa"/>
            <w:tcMar>
              <w:top w:w="12" w:type="dxa"/>
              <w:left w:w="12" w:type="dxa"/>
              <w:right w:w="12" w:type="dxa"/>
            </w:tcMar>
            <w:vAlign w:val="center"/>
          </w:tcPr>
          <w:p>
            <w:pPr>
              <w:jc w:val="center"/>
              <w:textAlignment w:val="center"/>
              <w:rPr>
                <w:rStyle w:val="19"/>
                <w:rFonts w:ascii="Times New Roman"/>
                <w:lang w:eastAsia="zh-CN"/>
              </w:rPr>
            </w:pPr>
            <w:r>
              <w:rPr>
                <w:rStyle w:val="19"/>
                <w:rFonts w:ascii="Times New Roman"/>
                <w:lang w:eastAsia="zh-CN"/>
              </w:rPr>
              <w:t>自评</w:t>
            </w:r>
          </w:p>
          <w:p>
            <w:pPr>
              <w:jc w:val="center"/>
              <w:textAlignment w:val="center"/>
              <w:rPr>
                <w:rFonts w:eastAsia="仿宋_GB2312"/>
                <w:color w:val="000000"/>
                <w:sz w:val="18"/>
                <w:szCs w:val="18"/>
              </w:rPr>
            </w:pPr>
            <w:r>
              <w:rPr>
                <w:rStyle w:val="19"/>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19"/>
                <w:rFonts w:ascii="Times New Roman"/>
                <w:lang w:eastAsia="zh-CN"/>
              </w:rPr>
              <w:t>指标解释</w:t>
            </w:r>
            <w:r>
              <w:rPr>
                <w:rStyle w:val="20"/>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19"/>
                <w:rFonts w:ascii="Times New Roman"/>
                <w:lang w:eastAsia="zh-CN"/>
              </w:rPr>
              <w:t>部门管理（</w:t>
            </w:r>
            <w:r>
              <w:rPr>
                <w:rStyle w:val="20"/>
                <w:rFonts w:eastAsia="仿宋_GB2312"/>
                <w:lang w:eastAsia="zh-CN"/>
              </w:rPr>
              <w:t>40</w:t>
            </w:r>
            <w:r>
              <w:rPr>
                <w:rStyle w:val="19"/>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资金</w:t>
            </w:r>
          </w:p>
          <w:p>
            <w:pPr>
              <w:jc w:val="center"/>
              <w:textAlignment w:val="center"/>
              <w:rPr>
                <w:rFonts w:eastAsia="仿宋_GB2312"/>
                <w:color w:val="000000"/>
                <w:sz w:val="18"/>
                <w:szCs w:val="18"/>
              </w:rPr>
            </w:pPr>
            <w:r>
              <w:rPr>
                <w:rStyle w:val="19"/>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98.81%</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Style w:val="19"/>
                <w:rFonts w:ascii="Times New Roman"/>
                <w:lang w:eastAsia="zh-CN"/>
              </w:rPr>
              <w:t>预算完成率</w:t>
            </w:r>
            <w:r>
              <w:rPr>
                <w:rStyle w:val="20"/>
                <w:rFonts w:eastAsia="仿宋_GB2312"/>
                <w:lang w:eastAsia="zh-CN"/>
              </w:rPr>
              <w:t>=</w:t>
            </w:r>
            <w:r>
              <w:rPr>
                <w:rStyle w:val="19"/>
                <w:rFonts w:ascii="Times New Roman"/>
                <w:lang w:eastAsia="zh-CN"/>
              </w:rPr>
              <w:t>（预算完成数</w:t>
            </w:r>
            <w:r>
              <w:rPr>
                <w:rStyle w:val="20"/>
                <w:rFonts w:eastAsia="仿宋_GB2312"/>
                <w:lang w:eastAsia="zh-CN"/>
              </w:rPr>
              <w:t>/</w:t>
            </w:r>
            <w:r>
              <w:rPr>
                <w:rStyle w:val="19"/>
                <w:rFonts w:ascii="Times New Roman"/>
                <w:lang w:eastAsia="zh-CN"/>
              </w:rPr>
              <w:t>调整预算数）</w:t>
            </w:r>
            <w:r>
              <w:rPr>
                <w:rStyle w:val="20"/>
                <w:rFonts w:eastAsia="仿宋_GB2312"/>
                <w:lang w:eastAsia="zh-CN"/>
              </w:rPr>
              <w:t>×100%</w:t>
            </w:r>
            <w:r>
              <w:rPr>
                <w:rStyle w:val="19"/>
                <w:rFonts w:ascii="Times New Roman"/>
                <w:lang w:eastAsia="zh-CN"/>
              </w:rPr>
              <w:t>。</w:t>
            </w:r>
          </w:p>
          <w:p>
            <w:pPr>
              <w:jc w:val="both"/>
              <w:textAlignment w:val="center"/>
              <w:rPr>
                <w:rFonts w:eastAsia="仿宋_GB2312"/>
                <w:sz w:val="18"/>
                <w:szCs w:val="18"/>
                <w:lang w:eastAsia="zh-CN"/>
              </w:rPr>
            </w:pPr>
            <w:r>
              <w:rPr>
                <w:rStyle w:val="19"/>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87.33%</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Style w:val="19"/>
                <w:rFonts w:ascii="Times New Roman"/>
                <w:lang w:eastAsia="zh-CN"/>
              </w:rPr>
              <w:t>预算调整率</w:t>
            </w:r>
            <w:r>
              <w:rPr>
                <w:rStyle w:val="20"/>
                <w:rFonts w:eastAsia="仿宋_GB2312"/>
                <w:lang w:eastAsia="zh-CN"/>
              </w:rPr>
              <w:t>=</w:t>
            </w:r>
            <w:r>
              <w:rPr>
                <w:rStyle w:val="19"/>
                <w:rFonts w:ascii="Times New Roman"/>
                <w:lang w:eastAsia="zh-CN"/>
              </w:rPr>
              <w:t>（预算调整数</w:t>
            </w:r>
            <w:r>
              <w:rPr>
                <w:rStyle w:val="20"/>
                <w:rFonts w:eastAsia="仿宋_GB2312"/>
                <w:lang w:eastAsia="zh-CN"/>
              </w:rPr>
              <w:t>/</w:t>
            </w:r>
            <w:r>
              <w:rPr>
                <w:rStyle w:val="19"/>
                <w:rFonts w:ascii="Times New Roman"/>
                <w:lang w:eastAsia="zh-CN"/>
              </w:rPr>
              <w:t>年初预算数）</w:t>
            </w:r>
            <w:r>
              <w:rPr>
                <w:rStyle w:val="20"/>
                <w:rFonts w:eastAsia="仿宋_GB2312"/>
                <w:lang w:eastAsia="zh-CN"/>
              </w:rPr>
              <w:t>×100%</w:t>
            </w:r>
            <w:r>
              <w:rPr>
                <w:rStyle w:val="19"/>
                <w:rFonts w:ascii="Times New Roman"/>
                <w:lang w:eastAsia="zh-CN"/>
              </w:rPr>
              <w:t>。</w:t>
            </w:r>
          </w:p>
          <w:p>
            <w:pPr>
              <w:jc w:val="both"/>
              <w:textAlignment w:val="center"/>
              <w:rPr>
                <w:rFonts w:eastAsia="仿宋_GB2312"/>
                <w:sz w:val="18"/>
                <w:szCs w:val="18"/>
                <w:lang w:eastAsia="zh-CN"/>
              </w:rPr>
            </w:pPr>
            <w:r>
              <w:rPr>
                <w:rStyle w:val="19"/>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97.96</w:t>
            </w:r>
            <w:r>
              <w:rPr>
                <w:rFonts w:eastAsia="仿宋_GB2312"/>
                <w:color w:val="000000"/>
                <w:sz w:val="18"/>
                <w:szCs w:val="18"/>
                <w:lang w:eastAsia="zh-CN"/>
              </w:rPr>
              <w:t>%</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Fonts w:eastAsia="仿宋_GB2312"/>
                <w:color w:val="000000"/>
                <w:sz w:val="18"/>
                <w:szCs w:val="18"/>
                <w:lang w:eastAsia="zh-CN"/>
              </w:rPr>
              <w:t>支付进度率</w:t>
            </w:r>
            <w:r>
              <w:rPr>
                <w:rStyle w:val="20"/>
                <w:rFonts w:eastAsia="仿宋_GB2312"/>
                <w:lang w:eastAsia="zh-CN"/>
              </w:rPr>
              <w:t>=</w:t>
            </w:r>
            <w:r>
              <w:rPr>
                <w:rStyle w:val="19"/>
                <w:rFonts w:ascii="Times New Roman"/>
                <w:lang w:eastAsia="zh-CN"/>
              </w:rPr>
              <w:t>（</w:t>
            </w:r>
            <w:r>
              <w:rPr>
                <w:rStyle w:val="20"/>
                <w:rFonts w:eastAsia="仿宋_GB2312"/>
                <w:lang w:eastAsia="zh-CN"/>
              </w:rPr>
              <w:t>6</w:t>
            </w:r>
            <w:r>
              <w:rPr>
                <w:rStyle w:val="19"/>
                <w:rFonts w:ascii="Times New Roman"/>
                <w:lang w:eastAsia="zh-CN"/>
              </w:rPr>
              <w:t>月末实际支付进度</w:t>
            </w:r>
            <w:r>
              <w:rPr>
                <w:rStyle w:val="20"/>
                <w:rFonts w:eastAsia="仿宋_GB2312"/>
                <w:lang w:eastAsia="zh-CN"/>
              </w:rPr>
              <w:t>/6</w:t>
            </w:r>
            <w:r>
              <w:rPr>
                <w:rStyle w:val="19"/>
                <w:rFonts w:ascii="Times New Roman"/>
                <w:lang w:eastAsia="zh-CN"/>
              </w:rPr>
              <w:t>月末序时支付进度）</w:t>
            </w:r>
            <w:r>
              <w:rPr>
                <w:rStyle w:val="20"/>
                <w:rFonts w:eastAsia="仿宋_GB2312"/>
                <w:lang w:eastAsia="zh-CN"/>
              </w:rPr>
              <w:t>×1/6+</w:t>
            </w:r>
            <w:r>
              <w:rPr>
                <w:rStyle w:val="19"/>
                <w:rFonts w:ascii="Times New Roman"/>
                <w:lang w:eastAsia="zh-CN"/>
              </w:rPr>
              <w:t>（</w:t>
            </w:r>
            <w:r>
              <w:rPr>
                <w:rStyle w:val="20"/>
                <w:rFonts w:eastAsia="仿宋_GB2312"/>
                <w:lang w:eastAsia="zh-CN"/>
              </w:rPr>
              <w:t>9</w:t>
            </w:r>
            <w:r>
              <w:rPr>
                <w:rStyle w:val="19"/>
                <w:rFonts w:ascii="Times New Roman"/>
                <w:lang w:eastAsia="zh-CN"/>
              </w:rPr>
              <w:t>月末实际支付进度</w:t>
            </w:r>
            <w:r>
              <w:rPr>
                <w:rStyle w:val="20"/>
                <w:rFonts w:eastAsia="仿宋_GB2312"/>
                <w:lang w:eastAsia="zh-CN"/>
              </w:rPr>
              <w:t>/9</w:t>
            </w:r>
            <w:r>
              <w:rPr>
                <w:rStyle w:val="19"/>
                <w:rFonts w:ascii="Times New Roman"/>
                <w:lang w:eastAsia="zh-CN"/>
              </w:rPr>
              <w:t>月末序时支付进度）</w:t>
            </w:r>
            <w:r>
              <w:rPr>
                <w:rStyle w:val="20"/>
                <w:rFonts w:eastAsia="仿宋_GB2312"/>
                <w:lang w:eastAsia="zh-CN"/>
              </w:rPr>
              <w:t>×1/6+</w:t>
            </w:r>
            <w:r>
              <w:rPr>
                <w:rStyle w:val="19"/>
                <w:rFonts w:ascii="Times New Roman"/>
                <w:lang w:eastAsia="zh-CN"/>
              </w:rPr>
              <w:t>（</w:t>
            </w:r>
            <w:r>
              <w:rPr>
                <w:rStyle w:val="20"/>
                <w:rFonts w:eastAsia="仿宋_GB2312"/>
                <w:lang w:eastAsia="zh-CN"/>
              </w:rPr>
              <w:t>11</w:t>
            </w:r>
            <w:r>
              <w:rPr>
                <w:rStyle w:val="19"/>
                <w:rFonts w:ascii="Times New Roman"/>
                <w:lang w:eastAsia="zh-CN"/>
              </w:rPr>
              <w:t>月末实际支付进度</w:t>
            </w:r>
            <w:r>
              <w:rPr>
                <w:rStyle w:val="20"/>
                <w:rFonts w:eastAsia="仿宋_GB2312"/>
                <w:lang w:eastAsia="zh-CN"/>
              </w:rPr>
              <w:t>/11</w:t>
            </w:r>
            <w:r>
              <w:rPr>
                <w:rStyle w:val="19"/>
                <w:rFonts w:ascii="Times New Roman"/>
                <w:lang w:eastAsia="zh-CN"/>
              </w:rPr>
              <w:t>月末序时支付进度）</w:t>
            </w:r>
            <w:r>
              <w:rPr>
                <w:rStyle w:val="20"/>
                <w:rFonts w:eastAsia="仿宋_GB2312"/>
                <w:lang w:eastAsia="zh-CN"/>
              </w:rPr>
              <w:t>×1/6+</w:t>
            </w:r>
            <w:r>
              <w:rPr>
                <w:rStyle w:val="19"/>
                <w:rFonts w:ascii="Times New Roman"/>
                <w:lang w:eastAsia="zh-CN"/>
              </w:rPr>
              <w:t>（</w:t>
            </w:r>
            <w:r>
              <w:rPr>
                <w:rStyle w:val="20"/>
                <w:rFonts w:eastAsia="仿宋_GB2312"/>
                <w:lang w:eastAsia="zh-CN"/>
              </w:rPr>
              <w:t>12</w:t>
            </w:r>
            <w:r>
              <w:rPr>
                <w:rStyle w:val="19"/>
                <w:rFonts w:ascii="Times New Roman"/>
                <w:lang w:eastAsia="zh-CN"/>
              </w:rPr>
              <w:t>月末实际支付进度</w:t>
            </w:r>
            <w:r>
              <w:rPr>
                <w:rStyle w:val="20"/>
                <w:rFonts w:eastAsia="仿宋_GB2312"/>
                <w:lang w:eastAsia="zh-CN"/>
              </w:rPr>
              <w:t>/95%</w:t>
            </w:r>
            <w:r>
              <w:rPr>
                <w:rStyle w:val="19"/>
                <w:rFonts w:ascii="Times New Roman"/>
                <w:lang w:eastAsia="zh-CN"/>
              </w:rPr>
              <w:t>）</w:t>
            </w:r>
            <w:r>
              <w:rPr>
                <w:rStyle w:val="20"/>
                <w:rFonts w:eastAsia="仿宋_GB2312"/>
                <w:lang w:eastAsia="zh-CN"/>
              </w:rPr>
              <w:t>×1/2</w:t>
            </w:r>
            <w:r>
              <w:rPr>
                <w:rStyle w:val="21"/>
                <w:rFonts w:hint="default" w:ascii="Times New Roman" w:hAnsi="Times New Roman" w:eastAsia="仿宋_GB2312"/>
                <w:lang w:eastAsia="zh-CN"/>
              </w:rPr>
              <w:t>。</w:t>
            </w:r>
          </w:p>
          <w:p>
            <w:pPr>
              <w:jc w:val="both"/>
              <w:textAlignment w:val="center"/>
              <w:rPr>
                <w:rStyle w:val="19"/>
                <w:rFonts w:ascii="Times New Roman"/>
                <w:lang w:eastAsia="zh-CN"/>
              </w:rPr>
            </w:pPr>
            <w:r>
              <w:rPr>
                <w:rStyle w:val="19"/>
                <w:rFonts w:ascii="Times New Roman"/>
                <w:lang w:eastAsia="zh-CN"/>
              </w:rPr>
              <w:t>实际支付进度是指部门（单位）在某一时点的支出预算执行总数与调整预算数的比率。</w:t>
            </w:r>
            <w:r>
              <w:rPr>
                <w:rStyle w:val="20"/>
                <w:rFonts w:eastAsia="仿宋_GB2312"/>
                <w:lang w:eastAsia="zh-CN"/>
              </w:rPr>
              <w:t>6</w:t>
            </w:r>
            <w:r>
              <w:rPr>
                <w:rStyle w:val="19"/>
                <w:rFonts w:ascii="Times New Roman"/>
                <w:lang w:eastAsia="zh-CN"/>
              </w:rPr>
              <w:t>月末序时支付进度</w:t>
            </w:r>
            <w:r>
              <w:rPr>
                <w:rStyle w:val="20"/>
                <w:rFonts w:eastAsia="仿宋_GB2312"/>
                <w:lang w:eastAsia="zh-CN"/>
              </w:rPr>
              <w:t>=6/12</w:t>
            </w:r>
            <w:r>
              <w:rPr>
                <w:rStyle w:val="19"/>
                <w:rFonts w:ascii="Times New Roman"/>
                <w:lang w:eastAsia="zh-CN"/>
              </w:rPr>
              <w:t>；</w:t>
            </w:r>
            <w:r>
              <w:rPr>
                <w:rStyle w:val="20"/>
                <w:rFonts w:eastAsia="仿宋_GB2312"/>
                <w:lang w:eastAsia="zh-CN"/>
              </w:rPr>
              <w:t>9</w:t>
            </w:r>
            <w:r>
              <w:rPr>
                <w:rStyle w:val="19"/>
                <w:rFonts w:ascii="Times New Roman"/>
                <w:lang w:eastAsia="zh-CN"/>
              </w:rPr>
              <w:t>月末序时支付进度</w:t>
            </w:r>
            <w:r>
              <w:rPr>
                <w:rStyle w:val="20"/>
                <w:rFonts w:eastAsia="仿宋_GB2312"/>
                <w:lang w:eastAsia="zh-CN"/>
              </w:rPr>
              <w:t>=9/12</w:t>
            </w:r>
            <w:r>
              <w:rPr>
                <w:rStyle w:val="19"/>
                <w:rFonts w:ascii="Times New Roman"/>
                <w:lang w:eastAsia="zh-CN"/>
              </w:rPr>
              <w:t>；</w:t>
            </w:r>
            <w:r>
              <w:rPr>
                <w:rStyle w:val="20"/>
                <w:rFonts w:eastAsia="仿宋_GB2312"/>
                <w:lang w:eastAsia="zh-CN"/>
              </w:rPr>
              <w:t>11</w:t>
            </w:r>
            <w:r>
              <w:rPr>
                <w:rStyle w:val="19"/>
                <w:rFonts w:ascii="Times New Roman"/>
                <w:lang w:eastAsia="zh-CN"/>
              </w:rPr>
              <w:t>月末序时支付进度</w:t>
            </w:r>
            <w:r>
              <w:rPr>
                <w:rStyle w:val="20"/>
                <w:rFonts w:eastAsia="仿宋_GB2312"/>
                <w:lang w:eastAsia="zh-CN"/>
              </w:rPr>
              <w:t>=11/12</w:t>
            </w:r>
            <w:r>
              <w:rPr>
                <w:rStyle w:val="19"/>
                <w:rFonts w:ascii="Times New Roman"/>
                <w:lang w:eastAsia="zh-CN"/>
              </w:rPr>
              <w:t>；</w:t>
            </w:r>
            <w:r>
              <w:rPr>
                <w:rStyle w:val="20"/>
                <w:rFonts w:eastAsia="仿宋_GB2312"/>
                <w:lang w:eastAsia="zh-CN"/>
              </w:rPr>
              <w:t>12</w:t>
            </w:r>
            <w:r>
              <w:rPr>
                <w:rStyle w:val="19"/>
                <w:rFonts w:ascii="Times New Roman"/>
                <w:lang w:eastAsia="zh-CN"/>
              </w:rPr>
              <w:t>月末序时支付进度</w:t>
            </w:r>
            <w:r>
              <w:rPr>
                <w:rStyle w:val="20"/>
                <w:rFonts w:eastAsia="仿宋_GB2312"/>
                <w:lang w:eastAsia="zh-CN"/>
              </w:rPr>
              <w:t>=95%</w:t>
            </w:r>
            <w:r>
              <w:rPr>
                <w:rStyle w:val="21"/>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19"/>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20"/>
                <w:rFonts w:eastAsia="仿宋_GB2312"/>
                <w:lang w:eastAsia="zh-CN"/>
              </w:rPr>
              <w:t>“</w:t>
            </w:r>
            <w:r>
              <w:rPr>
                <w:rStyle w:val="19"/>
                <w:rFonts w:ascii="Times New Roman"/>
                <w:lang w:eastAsia="zh-CN"/>
              </w:rPr>
              <w:t>三公经费</w:t>
            </w:r>
            <w:r>
              <w:rPr>
                <w:rStyle w:val="20"/>
                <w:rFonts w:eastAsia="仿宋_GB2312"/>
                <w:lang w:eastAsia="zh-CN"/>
              </w:rPr>
              <w:t>”</w:t>
            </w:r>
            <w:r>
              <w:rPr>
                <w:rStyle w:val="19"/>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20"/>
                <w:rFonts w:eastAsia="仿宋_GB2312"/>
                <w:lang w:eastAsia="zh-CN"/>
              </w:rPr>
              <w:t>≤0</w:t>
            </w:r>
          </w:p>
        </w:tc>
        <w:tc>
          <w:tcPr>
            <w:tcW w:w="784" w:type="dxa"/>
            <w:tcMar>
              <w:top w:w="12" w:type="dxa"/>
              <w:left w:w="12" w:type="dxa"/>
              <w:right w:w="12" w:type="dxa"/>
            </w:tcMar>
            <w:vAlign w:val="center"/>
          </w:tcPr>
          <w:p>
            <w:pPr>
              <w:jc w:val="center"/>
              <w:rPr>
                <w:rFonts w:hint="default" w:eastAsia="仿宋_GB2312"/>
                <w:color w:val="000000"/>
                <w:sz w:val="18"/>
                <w:szCs w:val="18"/>
                <w:lang w:val="en-US"/>
              </w:rPr>
            </w:pPr>
            <w:r>
              <w:rPr>
                <w:rStyle w:val="20"/>
                <w:rFonts w:hint="eastAsia" w:eastAsia="仿宋_GB2312"/>
                <w:lang w:val="en-US" w:eastAsia="zh-CN"/>
              </w:rPr>
              <w:t>115.18%</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20"/>
                <w:rFonts w:eastAsia="仿宋_GB2312"/>
                <w:lang w:eastAsia="zh-CN"/>
              </w:rPr>
              <w:t>“</w:t>
            </w:r>
            <w:r>
              <w:rPr>
                <w:rStyle w:val="19"/>
                <w:rFonts w:ascii="Times New Roman"/>
                <w:lang w:eastAsia="zh-CN"/>
              </w:rPr>
              <w:t>三公经费</w:t>
            </w:r>
            <w:r>
              <w:rPr>
                <w:rStyle w:val="20"/>
                <w:rFonts w:eastAsia="仿宋_GB2312"/>
                <w:lang w:eastAsia="zh-CN"/>
              </w:rPr>
              <w:t>”</w:t>
            </w:r>
            <w:r>
              <w:rPr>
                <w:rStyle w:val="19"/>
                <w:rFonts w:ascii="Times New Roman"/>
                <w:lang w:eastAsia="zh-CN"/>
              </w:rPr>
              <w:t>变动率</w:t>
            </w:r>
            <w:r>
              <w:rPr>
                <w:rStyle w:val="20"/>
                <w:rFonts w:eastAsia="仿宋_GB2312"/>
                <w:lang w:eastAsia="zh-CN"/>
              </w:rPr>
              <w:t>=[</w:t>
            </w:r>
            <w:r>
              <w:rPr>
                <w:rStyle w:val="19"/>
                <w:rFonts w:ascii="Times New Roman"/>
                <w:lang w:eastAsia="zh-CN"/>
              </w:rPr>
              <w:t>（本年度</w:t>
            </w:r>
            <w:r>
              <w:rPr>
                <w:rStyle w:val="20"/>
                <w:rFonts w:eastAsia="仿宋_GB2312"/>
                <w:lang w:eastAsia="zh-CN"/>
              </w:rPr>
              <w:t>“</w:t>
            </w:r>
            <w:r>
              <w:rPr>
                <w:rStyle w:val="19"/>
                <w:rFonts w:ascii="Times New Roman"/>
                <w:lang w:eastAsia="zh-CN"/>
              </w:rPr>
              <w:t>三公经费</w:t>
            </w:r>
            <w:r>
              <w:rPr>
                <w:rStyle w:val="20"/>
                <w:rFonts w:eastAsia="仿宋_GB2312"/>
                <w:lang w:eastAsia="zh-CN"/>
              </w:rPr>
              <w:t>”</w:t>
            </w:r>
            <w:r>
              <w:rPr>
                <w:rStyle w:val="19"/>
                <w:rFonts w:ascii="Times New Roman"/>
                <w:lang w:eastAsia="zh-CN"/>
              </w:rPr>
              <w:t>支出总额</w:t>
            </w:r>
            <w:r>
              <w:rPr>
                <w:rStyle w:val="20"/>
                <w:rFonts w:eastAsia="仿宋_GB2312"/>
                <w:lang w:eastAsia="zh-CN"/>
              </w:rPr>
              <w:t>-</w:t>
            </w:r>
            <w:r>
              <w:rPr>
                <w:rStyle w:val="19"/>
                <w:rFonts w:ascii="Times New Roman"/>
                <w:lang w:eastAsia="zh-CN"/>
              </w:rPr>
              <w:t>上年度</w:t>
            </w:r>
            <w:r>
              <w:rPr>
                <w:rStyle w:val="20"/>
                <w:rFonts w:eastAsia="仿宋_GB2312"/>
                <w:lang w:eastAsia="zh-CN"/>
              </w:rPr>
              <w:t>“</w:t>
            </w:r>
            <w:r>
              <w:rPr>
                <w:rStyle w:val="19"/>
                <w:rFonts w:ascii="Times New Roman"/>
                <w:lang w:eastAsia="zh-CN"/>
              </w:rPr>
              <w:t>三公经费</w:t>
            </w:r>
            <w:r>
              <w:rPr>
                <w:rStyle w:val="20"/>
                <w:rFonts w:eastAsia="仿宋_GB2312"/>
                <w:lang w:eastAsia="zh-CN"/>
              </w:rPr>
              <w:t>”</w:t>
            </w:r>
            <w:r>
              <w:rPr>
                <w:rStyle w:val="19"/>
                <w:rFonts w:ascii="Times New Roman"/>
                <w:lang w:eastAsia="zh-CN"/>
              </w:rPr>
              <w:t>支出总额）</w:t>
            </w:r>
            <w:r>
              <w:rPr>
                <w:rStyle w:val="20"/>
                <w:rFonts w:eastAsia="仿宋_GB2312"/>
                <w:lang w:eastAsia="zh-CN"/>
              </w:rPr>
              <w:t>/</w:t>
            </w:r>
            <w:r>
              <w:rPr>
                <w:rStyle w:val="19"/>
                <w:rFonts w:ascii="Times New Roman"/>
                <w:lang w:eastAsia="zh-CN"/>
              </w:rPr>
              <w:t>上年度</w:t>
            </w:r>
            <w:r>
              <w:rPr>
                <w:rStyle w:val="20"/>
                <w:rFonts w:eastAsia="仿宋_GB2312"/>
                <w:lang w:eastAsia="zh-CN"/>
              </w:rPr>
              <w:t>“</w:t>
            </w:r>
            <w:r>
              <w:rPr>
                <w:rStyle w:val="19"/>
                <w:rFonts w:ascii="Times New Roman"/>
                <w:lang w:eastAsia="zh-CN"/>
              </w:rPr>
              <w:t>三公经费</w:t>
            </w:r>
            <w:r>
              <w:rPr>
                <w:rStyle w:val="20"/>
                <w:rFonts w:eastAsia="仿宋_GB2312"/>
                <w:lang w:eastAsia="zh-CN"/>
              </w:rPr>
              <w:t>”</w:t>
            </w:r>
            <w:r>
              <w:rPr>
                <w:rStyle w:val="19"/>
                <w:rFonts w:ascii="Times New Roman"/>
                <w:lang w:eastAsia="zh-CN"/>
              </w:rPr>
              <w:t>支出总额</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20"/>
                <w:rFonts w:eastAsia="仿宋_GB2312"/>
                <w:lang w:eastAsia="zh-CN"/>
              </w:rPr>
              <w:t>≤0</w:t>
            </w:r>
            <w:r>
              <w:rPr>
                <w:rStyle w:val="19"/>
                <w:rFonts w:ascii="Times New Roman"/>
                <w:lang w:eastAsia="zh-CN"/>
              </w:rPr>
              <w:t>　</w:t>
            </w:r>
          </w:p>
        </w:tc>
        <w:tc>
          <w:tcPr>
            <w:tcW w:w="784" w:type="dxa"/>
            <w:tcMar>
              <w:top w:w="12" w:type="dxa"/>
              <w:left w:w="12" w:type="dxa"/>
              <w:right w:w="12" w:type="dxa"/>
            </w:tcMar>
            <w:vAlign w:val="center"/>
          </w:tcPr>
          <w:p>
            <w:pPr>
              <w:jc w:val="center"/>
              <w:rPr>
                <w:rFonts w:hint="default" w:eastAsia="仿宋_GB2312"/>
                <w:color w:val="000000"/>
                <w:sz w:val="18"/>
                <w:szCs w:val="18"/>
                <w:lang w:val="en-US"/>
              </w:rPr>
            </w:pPr>
            <w:r>
              <w:rPr>
                <w:rStyle w:val="20"/>
                <w:rFonts w:hint="eastAsia" w:eastAsia="仿宋_GB2312"/>
                <w:lang w:val="en-US" w:eastAsia="zh-CN"/>
              </w:rPr>
              <w:t>-29.37%</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9"/>
                <w:rFonts w:ascii="Times New Roman"/>
                <w:lang w:eastAsia="zh-CN"/>
              </w:rPr>
              <w:t>结转结余变动率</w:t>
            </w:r>
            <w:r>
              <w:rPr>
                <w:rStyle w:val="20"/>
                <w:rFonts w:eastAsia="仿宋_GB2312"/>
                <w:lang w:eastAsia="zh-CN"/>
              </w:rPr>
              <w:t>=</w:t>
            </w:r>
            <w:r>
              <w:rPr>
                <w:rStyle w:val="19"/>
                <w:rFonts w:ascii="Times New Roman"/>
                <w:lang w:eastAsia="zh-CN"/>
              </w:rPr>
              <w:t>（本年度累计结转结余资金总额</w:t>
            </w:r>
            <w:r>
              <w:rPr>
                <w:rStyle w:val="20"/>
                <w:rFonts w:eastAsia="仿宋_GB2312"/>
                <w:lang w:eastAsia="zh-CN"/>
              </w:rPr>
              <w:t>-</w:t>
            </w:r>
            <w:r>
              <w:rPr>
                <w:rStyle w:val="19"/>
                <w:rFonts w:ascii="Times New Roman"/>
                <w:lang w:eastAsia="zh-CN"/>
              </w:rPr>
              <w:t>上年度累计结转结余资金总额）</w:t>
            </w:r>
            <w:r>
              <w:rPr>
                <w:rStyle w:val="20"/>
                <w:rFonts w:eastAsia="仿宋_GB2312"/>
                <w:lang w:eastAsia="zh-CN"/>
              </w:rPr>
              <w:t>/</w:t>
            </w:r>
            <w:r>
              <w:rPr>
                <w:rStyle w:val="19"/>
                <w:rFonts w:ascii="Times New Roman"/>
                <w:lang w:eastAsia="zh-CN"/>
              </w:rPr>
              <w:t>上年度累计结转结余资金总额</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19"/>
                <w:rFonts w:ascii="Times New Roman"/>
                <w:lang w:eastAsia="zh-CN"/>
              </w:rPr>
              <w:t>部门管理（</w:t>
            </w:r>
            <w:r>
              <w:rPr>
                <w:rStyle w:val="20"/>
                <w:rFonts w:eastAsia="仿宋_GB2312"/>
                <w:lang w:eastAsia="zh-CN"/>
              </w:rPr>
              <w:t>40</w:t>
            </w:r>
            <w:r>
              <w:rPr>
                <w:rStyle w:val="1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Fonts w:eastAsia="仿宋_GB2312"/>
                <w:color w:val="000000"/>
                <w:sz w:val="18"/>
                <w:szCs w:val="18"/>
                <w:lang w:eastAsia="zh-CN"/>
              </w:rPr>
              <w:t>问题资金占比</w:t>
            </w:r>
            <w:r>
              <w:rPr>
                <w:rStyle w:val="20"/>
                <w:rFonts w:eastAsia="仿宋_GB2312"/>
                <w:lang w:eastAsia="zh-CN"/>
              </w:rPr>
              <w:t>=</w:t>
            </w:r>
            <w:r>
              <w:rPr>
                <w:rStyle w:val="19"/>
                <w:rFonts w:ascii="Times New Roman"/>
                <w:lang w:eastAsia="zh-CN"/>
              </w:rPr>
              <w:t>有问题资金额</w:t>
            </w:r>
            <w:r>
              <w:rPr>
                <w:rStyle w:val="20"/>
                <w:rFonts w:eastAsia="仿宋_GB2312"/>
                <w:lang w:eastAsia="zh-CN"/>
              </w:rPr>
              <w:t>/</w:t>
            </w:r>
            <w:r>
              <w:rPr>
                <w:rStyle w:val="19"/>
                <w:rFonts w:ascii="Times New Roman"/>
                <w:lang w:eastAsia="zh-CN"/>
              </w:rPr>
              <w:t>部门支出决算数。</w:t>
            </w:r>
          </w:p>
          <w:p>
            <w:pPr>
              <w:jc w:val="both"/>
              <w:textAlignment w:val="center"/>
              <w:rPr>
                <w:rFonts w:eastAsia="仿宋_GB2312"/>
                <w:sz w:val="18"/>
                <w:szCs w:val="18"/>
                <w:lang w:eastAsia="zh-CN"/>
              </w:rPr>
            </w:pPr>
            <w:r>
              <w:rPr>
                <w:rStyle w:val="19"/>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4"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采购</w:t>
            </w:r>
          </w:p>
          <w:p>
            <w:pPr>
              <w:jc w:val="center"/>
              <w:textAlignment w:val="center"/>
              <w:rPr>
                <w:rFonts w:eastAsia="仿宋_GB2312"/>
                <w:color w:val="000000"/>
                <w:sz w:val="18"/>
                <w:szCs w:val="18"/>
              </w:rPr>
            </w:pPr>
            <w:r>
              <w:rPr>
                <w:rStyle w:val="19"/>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政府采购执行率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Style w:val="19"/>
                <w:rFonts w:ascii="Times New Roman"/>
                <w:lang w:eastAsia="zh-CN"/>
              </w:rPr>
              <w:t>政府采购执行率</w:t>
            </w:r>
            <w:r>
              <w:rPr>
                <w:rStyle w:val="20"/>
                <w:rFonts w:eastAsia="仿宋_GB2312"/>
                <w:lang w:eastAsia="zh-CN"/>
              </w:rPr>
              <w:t>=</w:t>
            </w:r>
            <w:r>
              <w:rPr>
                <w:rStyle w:val="19"/>
                <w:rFonts w:ascii="Times New Roman"/>
                <w:lang w:eastAsia="zh-CN"/>
              </w:rPr>
              <w:t>（实际政府采购金额</w:t>
            </w:r>
            <w:r>
              <w:rPr>
                <w:rStyle w:val="20"/>
                <w:rFonts w:eastAsia="仿宋_GB2312"/>
                <w:lang w:eastAsia="zh-CN"/>
              </w:rPr>
              <w:t>/</w:t>
            </w:r>
            <w:r>
              <w:rPr>
                <w:rStyle w:val="19"/>
                <w:rFonts w:ascii="Times New Roman"/>
                <w:lang w:eastAsia="zh-CN"/>
              </w:rPr>
              <w:t>政府采购预算数）</w:t>
            </w:r>
            <w:r>
              <w:rPr>
                <w:rStyle w:val="20"/>
                <w:rFonts w:eastAsia="仿宋_GB2312"/>
                <w:lang w:eastAsia="zh-CN"/>
              </w:rPr>
              <w:t>×100%</w:t>
            </w:r>
            <w:r>
              <w:rPr>
                <w:rStyle w:val="19"/>
                <w:rFonts w:ascii="Times New Roman"/>
                <w:lang w:eastAsia="zh-CN"/>
              </w:rPr>
              <w:t>。</w:t>
            </w:r>
          </w:p>
          <w:p>
            <w:pPr>
              <w:jc w:val="both"/>
              <w:textAlignment w:val="center"/>
              <w:rPr>
                <w:rFonts w:eastAsia="仿宋_GB2312"/>
                <w:sz w:val="18"/>
                <w:szCs w:val="18"/>
                <w:lang w:eastAsia="zh-CN"/>
              </w:rPr>
            </w:pPr>
            <w:r>
              <w:rPr>
                <w:rStyle w:val="19"/>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资产</w:t>
            </w:r>
          </w:p>
          <w:p>
            <w:pPr>
              <w:jc w:val="center"/>
              <w:textAlignment w:val="center"/>
              <w:rPr>
                <w:rFonts w:eastAsia="仿宋_GB2312"/>
                <w:color w:val="000000"/>
                <w:sz w:val="18"/>
                <w:szCs w:val="18"/>
              </w:rPr>
            </w:pPr>
            <w:r>
              <w:rPr>
                <w:rStyle w:val="19"/>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规范　</w:t>
            </w:r>
          </w:p>
        </w:tc>
        <w:tc>
          <w:tcPr>
            <w:tcW w:w="784" w:type="dxa"/>
            <w:tcMar>
              <w:top w:w="12" w:type="dxa"/>
              <w:left w:w="12" w:type="dxa"/>
              <w:right w:w="12" w:type="dxa"/>
            </w:tcMar>
            <w:vAlign w:val="center"/>
          </w:tcPr>
          <w:p>
            <w:pPr>
              <w:jc w:val="center"/>
              <w:rPr>
                <w:rFonts w:eastAsia="仿宋_GB2312"/>
                <w:color w:val="000000"/>
                <w:sz w:val="18"/>
                <w:szCs w:val="18"/>
              </w:rPr>
            </w:pPr>
            <w:r>
              <w:rPr>
                <w:rStyle w:val="19"/>
                <w:rFonts w:ascii="Times New Roman"/>
                <w:lang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Style w:val="19"/>
                <w:rFonts w:ascii="Times New Roman"/>
                <w:lang w:eastAsia="zh-CN"/>
              </w:rPr>
              <w:t>评价要点：</w:t>
            </w:r>
          </w:p>
          <w:p>
            <w:pPr>
              <w:jc w:val="both"/>
              <w:textAlignment w:val="center"/>
              <w:rPr>
                <w:rStyle w:val="20"/>
                <w:rFonts w:eastAsia="仿宋_GB2312"/>
                <w:lang w:eastAsia="zh-CN"/>
              </w:rPr>
            </w:pPr>
            <w:r>
              <w:rPr>
                <w:rStyle w:val="20"/>
                <w:rFonts w:eastAsia="仿宋_GB2312"/>
                <w:lang w:eastAsia="zh-CN"/>
              </w:rPr>
              <w:t xml:space="preserve">1.  </w:t>
            </w:r>
            <w:r>
              <w:rPr>
                <w:rStyle w:val="19"/>
                <w:rFonts w:ascii="Times New Roman"/>
                <w:lang w:eastAsia="zh-CN"/>
              </w:rPr>
              <w:t>按照资产管理要求，是否建章立制，并严格执行：资产配置、处置程序是否规范，标准是否合理，处置是否及时等；</w:t>
            </w:r>
          </w:p>
          <w:p>
            <w:pPr>
              <w:jc w:val="both"/>
              <w:textAlignment w:val="center"/>
              <w:rPr>
                <w:rStyle w:val="20"/>
                <w:rFonts w:eastAsia="仿宋_GB2312"/>
                <w:lang w:eastAsia="zh-CN"/>
              </w:rPr>
            </w:pPr>
            <w:r>
              <w:rPr>
                <w:rStyle w:val="20"/>
                <w:rFonts w:eastAsia="仿宋_GB2312"/>
                <w:lang w:eastAsia="zh-CN"/>
              </w:rPr>
              <w:t xml:space="preserve">2.  </w:t>
            </w:r>
            <w:r>
              <w:rPr>
                <w:rStyle w:val="19"/>
                <w:rFonts w:ascii="Times New Roman"/>
                <w:lang w:eastAsia="zh-CN"/>
              </w:rPr>
              <w:t>按会计制度要求，是否建立资产账目，实现与财务管理相结合；</w:t>
            </w:r>
          </w:p>
          <w:p>
            <w:pPr>
              <w:jc w:val="both"/>
              <w:textAlignment w:val="center"/>
              <w:rPr>
                <w:rStyle w:val="20"/>
                <w:rFonts w:eastAsia="仿宋_GB2312"/>
                <w:lang w:eastAsia="zh-CN"/>
              </w:rPr>
            </w:pPr>
            <w:r>
              <w:rPr>
                <w:rStyle w:val="20"/>
                <w:rFonts w:eastAsia="仿宋_GB2312"/>
                <w:lang w:eastAsia="zh-CN"/>
              </w:rPr>
              <w:t xml:space="preserve">3.  </w:t>
            </w:r>
            <w:r>
              <w:rPr>
                <w:rStyle w:val="19"/>
                <w:rFonts w:ascii="Times New Roman"/>
                <w:lang w:eastAsia="zh-CN"/>
              </w:rPr>
              <w:t>资产月报和年报是否按照时间要求，及时、准确、完整上报；</w:t>
            </w:r>
          </w:p>
          <w:p>
            <w:pPr>
              <w:jc w:val="both"/>
              <w:textAlignment w:val="center"/>
              <w:rPr>
                <w:rStyle w:val="20"/>
                <w:rFonts w:eastAsia="仿宋_GB2312"/>
                <w:lang w:eastAsia="zh-CN"/>
              </w:rPr>
            </w:pPr>
            <w:r>
              <w:rPr>
                <w:rStyle w:val="20"/>
                <w:rFonts w:eastAsia="仿宋_GB2312"/>
                <w:lang w:eastAsia="zh-CN"/>
              </w:rPr>
              <w:t>4.</w:t>
            </w:r>
            <w:r>
              <w:rPr>
                <w:rStyle w:val="19"/>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20"/>
                <w:rFonts w:eastAsia="仿宋_GB2312"/>
                <w:lang w:eastAsia="zh-CN"/>
              </w:rPr>
              <w:t>5.</w:t>
            </w:r>
            <w:r>
              <w:rPr>
                <w:rStyle w:val="19"/>
                <w:rFonts w:ascii="Times New Roman"/>
                <w:lang w:eastAsia="zh-CN"/>
              </w:rPr>
              <w:t>公务用车是否按照</w:t>
            </w:r>
            <w:r>
              <w:rPr>
                <w:rStyle w:val="20"/>
                <w:rFonts w:eastAsia="仿宋_GB2312"/>
                <w:lang w:eastAsia="zh-CN"/>
              </w:rPr>
              <w:t>“</w:t>
            </w:r>
            <w:r>
              <w:rPr>
                <w:rStyle w:val="19"/>
                <w:rFonts w:ascii="Times New Roman"/>
                <w:lang w:eastAsia="zh-CN"/>
              </w:rPr>
              <w:t>三化</w:t>
            </w:r>
            <w:r>
              <w:rPr>
                <w:rStyle w:val="20"/>
                <w:rFonts w:eastAsia="仿宋_GB2312"/>
                <w:lang w:eastAsia="zh-CN"/>
              </w:rPr>
              <w:t>”</w:t>
            </w:r>
            <w:r>
              <w:rPr>
                <w:rStyle w:val="19"/>
                <w:rFonts w:ascii="Times New Roman"/>
                <w:lang w:eastAsia="zh-CN"/>
              </w:rPr>
              <w:t>要求</w:t>
            </w:r>
            <w:r>
              <w:rPr>
                <w:rStyle w:val="20"/>
                <w:rFonts w:eastAsia="仿宋_GB2312"/>
                <w:lang w:eastAsia="zh-CN"/>
              </w:rPr>
              <w:t>,</w:t>
            </w:r>
            <w:r>
              <w:rPr>
                <w:rStyle w:val="19"/>
                <w:rFonts w:ascii="Times New Roman"/>
                <w:lang w:eastAsia="zh-CN"/>
              </w:rPr>
              <w:t>及时纳入</w:t>
            </w:r>
            <w:r>
              <w:rPr>
                <w:rStyle w:val="20"/>
                <w:rFonts w:eastAsia="仿宋_GB2312"/>
                <w:lang w:eastAsia="zh-CN"/>
              </w:rPr>
              <w:t>“</w:t>
            </w:r>
            <w:r>
              <w:rPr>
                <w:rStyle w:val="19"/>
                <w:rFonts w:ascii="Times New Roman"/>
                <w:lang w:eastAsia="zh-CN"/>
              </w:rPr>
              <w:t>全省一张网</w:t>
            </w:r>
            <w:r>
              <w:rPr>
                <w:rStyle w:val="20"/>
                <w:rFonts w:eastAsia="仿宋_GB2312"/>
                <w:lang w:eastAsia="zh-CN"/>
              </w:rPr>
              <w:t>”</w:t>
            </w:r>
            <w:r>
              <w:rPr>
                <w:rStyle w:val="19"/>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人员</w:t>
            </w:r>
          </w:p>
          <w:p>
            <w:pPr>
              <w:jc w:val="center"/>
              <w:textAlignment w:val="center"/>
              <w:rPr>
                <w:rFonts w:eastAsia="仿宋_GB2312"/>
                <w:color w:val="000000"/>
                <w:sz w:val="18"/>
                <w:szCs w:val="18"/>
              </w:rPr>
            </w:pPr>
            <w:r>
              <w:rPr>
                <w:rStyle w:val="19"/>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9"/>
                <w:rFonts w:ascii="Times New Roman"/>
                <w:lang w:eastAsia="zh-CN"/>
              </w:rPr>
              <w:t>在职人员控制率</w:t>
            </w:r>
            <w:r>
              <w:rPr>
                <w:rStyle w:val="20"/>
                <w:rFonts w:eastAsia="仿宋_GB2312"/>
                <w:lang w:eastAsia="zh-CN"/>
              </w:rPr>
              <w:t>=</w:t>
            </w:r>
            <w:r>
              <w:rPr>
                <w:rStyle w:val="19"/>
                <w:rFonts w:ascii="Times New Roman"/>
                <w:lang w:eastAsia="zh-CN"/>
              </w:rPr>
              <w:t>（在职人员数</w:t>
            </w:r>
            <w:r>
              <w:rPr>
                <w:rStyle w:val="20"/>
                <w:rFonts w:eastAsia="仿宋_GB2312"/>
                <w:lang w:eastAsia="zh-CN"/>
              </w:rPr>
              <w:t>/</w:t>
            </w:r>
            <w:r>
              <w:rPr>
                <w:rStyle w:val="19"/>
                <w:rFonts w:ascii="Times New Roman"/>
                <w:lang w:eastAsia="zh-CN"/>
              </w:rPr>
              <w:t>编制数）</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信息</w:t>
            </w:r>
          </w:p>
          <w:p>
            <w:pPr>
              <w:jc w:val="center"/>
              <w:textAlignment w:val="center"/>
              <w:rPr>
                <w:rFonts w:eastAsia="仿宋_GB2312"/>
                <w:color w:val="000000"/>
                <w:sz w:val="18"/>
                <w:szCs w:val="18"/>
              </w:rPr>
            </w:pPr>
            <w:r>
              <w:rPr>
                <w:rStyle w:val="19"/>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19"/>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Style w:val="19"/>
                <w:rFonts w:ascii="Times New Roman"/>
                <w:lang w:eastAsia="zh-CN"/>
              </w:rPr>
              <w:t>评价要点：</w:t>
            </w:r>
          </w:p>
          <w:p>
            <w:pPr>
              <w:jc w:val="both"/>
              <w:textAlignment w:val="center"/>
              <w:rPr>
                <w:rStyle w:val="20"/>
                <w:rFonts w:eastAsia="仿宋_GB2312"/>
                <w:lang w:eastAsia="zh-CN"/>
              </w:rPr>
            </w:pPr>
            <w:r>
              <w:rPr>
                <w:rStyle w:val="20"/>
                <w:rFonts w:eastAsia="仿宋_GB2312"/>
                <w:lang w:eastAsia="zh-CN"/>
              </w:rPr>
              <w:t>1.</w:t>
            </w:r>
            <w:r>
              <w:rPr>
                <w:rStyle w:val="19"/>
                <w:rFonts w:ascii="Times New Roman"/>
                <w:lang w:eastAsia="zh-CN"/>
              </w:rPr>
              <w:t>是否按规定内容公开预决算信息；</w:t>
            </w:r>
          </w:p>
          <w:p>
            <w:pPr>
              <w:jc w:val="both"/>
              <w:textAlignment w:val="center"/>
              <w:rPr>
                <w:rFonts w:eastAsia="仿宋_GB2312"/>
                <w:sz w:val="18"/>
                <w:szCs w:val="18"/>
                <w:lang w:eastAsia="zh-CN"/>
              </w:rPr>
            </w:pPr>
            <w:r>
              <w:rPr>
                <w:rStyle w:val="20"/>
                <w:rFonts w:eastAsia="仿宋_GB2312"/>
                <w:lang w:eastAsia="zh-CN"/>
              </w:rPr>
              <w:t>2.</w:t>
            </w:r>
            <w:r>
              <w:rPr>
                <w:rStyle w:val="19"/>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19"/>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20"/>
                <w:rFonts w:eastAsia="仿宋_GB2312"/>
                <w:lang w:eastAsia="zh-CN"/>
              </w:rPr>
            </w:pPr>
            <w:r>
              <w:rPr>
                <w:rFonts w:eastAsia="仿宋_GB2312"/>
                <w:color w:val="000000"/>
                <w:sz w:val="18"/>
                <w:szCs w:val="18"/>
                <w:lang w:eastAsia="zh-CN"/>
              </w:rPr>
              <w:t>评价要点：</w:t>
            </w:r>
          </w:p>
          <w:p>
            <w:pPr>
              <w:jc w:val="both"/>
              <w:textAlignment w:val="center"/>
              <w:rPr>
                <w:rStyle w:val="20"/>
                <w:rFonts w:eastAsia="仿宋_GB2312"/>
                <w:lang w:eastAsia="zh-CN"/>
              </w:rPr>
            </w:pPr>
            <w:r>
              <w:rPr>
                <w:rStyle w:val="20"/>
                <w:rFonts w:eastAsia="仿宋_GB2312"/>
                <w:lang w:eastAsia="zh-CN"/>
              </w:rPr>
              <w:t>1.</w:t>
            </w:r>
            <w:r>
              <w:rPr>
                <w:rStyle w:val="19"/>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20"/>
                <w:rFonts w:eastAsia="仿宋_GB2312"/>
                <w:lang w:eastAsia="zh-CN"/>
              </w:rPr>
              <w:t>2.</w:t>
            </w:r>
            <w:r>
              <w:rPr>
                <w:rStyle w:val="19"/>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部门管理（</w:t>
            </w:r>
            <w:r>
              <w:rPr>
                <w:rStyle w:val="20"/>
                <w:rFonts w:eastAsia="仿宋_GB2312"/>
                <w:lang w:eastAsia="zh-CN"/>
              </w:rPr>
              <w:t>40</w:t>
            </w:r>
            <w:r>
              <w:rPr>
                <w:rStyle w:val="19"/>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绩效</w:t>
            </w:r>
          </w:p>
          <w:p>
            <w:pPr>
              <w:jc w:val="center"/>
              <w:textAlignment w:val="center"/>
              <w:rPr>
                <w:rFonts w:eastAsia="仿宋_GB2312"/>
                <w:color w:val="000000"/>
                <w:sz w:val="18"/>
                <w:szCs w:val="18"/>
              </w:rPr>
            </w:pPr>
            <w:r>
              <w:rPr>
                <w:rStyle w:val="19"/>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9"/>
                <w:rFonts w:ascii="Times New Roman"/>
                <w:lang w:eastAsia="zh-CN"/>
              </w:rPr>
              <w:t>绩效目标审核通过率</w:t>
            </w:r>
            <w:r>
              <w:rPr>
                <w:rStyle w:val="20"/>
                <w:rFonts w:eastAsia="仿宋_GB2312"/>
                <w:lang w:eastAsia="zh-CN"/>
              </w:rPr>
              <w:t>=</w:t>
            </w:r>
            <w:r>
              <w:rPr>
                <w:rStyle w:val="19"/>
                <w:rFonts w:ascii="Times New Roman"/>
                <w:lang w:eastAsia="zh-CN"/>
              </w:rPr>
              <w:t>（审核通过安排预算的专项项目数</w:t>
            </w:r>
            <w:r>
              <w:rPr>
                <w:rStyle w:val="20"/>
                <w:rFonts w:eastAsia="仿宋_GB2312"/>
                <w:lang w:eastAsia="zh-CN"/>
              </w:rPr>
              <w:t>/</w:t>
            </w:r>
            <w:r>
              <w:rPr>
                <w:rStyle w:val="19"/>
                <w:rFonts w:ascii="Times New Roman"/>
                <w:lang w:eastAsia="zh-CN"/>
              </w:rPr>
              <w:t>部门申报的专项项目数）</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20"/>
                <w:rFonts w:eastAsia="仿宋_GB2312"/>
                <w:lang w:eastAsia="zh-CN"/>
              </w:rPr>
              <w:t>=</w:t>
            </w:r>
            <w:r>
              <w:rPr>
                <w:rStyle w:val="19"/>
                <w:rFonts w:ascii="Times New Roman"/>
                <w:lang w:eastAsia="zh-CN"/>
              </w:rPr>
              <w:t>（部门开展</w:t>
            </w:r>
            <w:r>
              <w:rPr>
                <w:rStyle w:val="20"/>
                <w:rFonts w:eastAsia="仿宋_GB2312"/>
                <w:lang w:eastAsia="zh-CN"/>
              </w:rPr>
              <w:t>2019</w:t>
            </w:r>
            <w:r>
              <w:rPr>
                <w:rStyle w:val="21"/>
                <w:rFonts w:hint="default" w:ascii="Times New Roman" w:hAnsi="Times New Roman" w:eastAsia="仿宋_GB2312"/>
                <w:lang w:eastAsia="zh-CN"/>
              </w:rPr>
              <w:t>年度</w:t>
            </w:r>
            <w:r>
              <w:rPr>
                <w:rStyle w:val="19"/>
                <w:rFonts w:ascii="Times New Roman"/>
                <w:lang w:eastAsia="zh-CN"/>
              </w:rPr>
              <w:t>专项项目自评的金额</w:t>
            </w:r>
            <w:r>
              <w:rPr>
                <w:rStyle w:val="20"/>
                <w:rFonts w:eastAsia="仿宋_GB2312"/>
                <w:lang w:eastAsia="zh-CN"/>
              </w:rPr>
              <w:t>/2019</w:t>
            </w:r>
            <w:r>
              <w:rPr>
                <w:rStyle w:val="21"/>
                <w:rFonts w:hint="default" w:ascii="Times New Roman" w:hAnsi="Times New Roman" w:eastAsia="仿宋_GB2312"/>
                <w:lang w:eastAsia="zh-CN"/>
              </w:rPr>
              <w:t>年度</w:t>
            </w:r>
            <w:r>
              <w:rPr>
                <w:rStyle w:val="19"/>
                <w:rFonts w:ascii="Times New Roman"/>
                <w:lang w:eastAsia="zh-CN"/>
              </w:rPr>
              <w:t>全部专项项目金额）</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部门产出（</w:t>
            </w:r>
            <w:r>
              <w:rPr>
                <w:rStyle w:val="20"/>
                <w:rFonts w:eastAsia="仿宋_GB2312"/>
                <w:lang w:eastAsia="zh-CN"/>
              </w:rPr>
              <w:t>40</w:t>
            </w:r>
            <w:r>
              <w:rPr>
                <w:rStyle w:val="1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数</w:t>
            </w:r>
            <w:r>
              <w:rPr>
                <w:rStyle w:val="20"/>
                <w:rFonts w:eastAsia="仿宋_GB2312"/>
                <w:lang w:eastAsia="zh-CN"/>
              </w:rPr>
              <w:t xml:space="preserve">  </w:t>
            </w:r>
            <w:r>
              <w:rPr>
                <w:rStyle w:val="19"/>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重点工作实际完成率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20"/>
                <w:rFonts w:eastAsia="仿宋_GB2312"/>
                <w:lang w:eastAsia="zh-CN"/>
              </w:rPr>
              <w:t>=</w:t>
            </w:r>
            <w:r>
              <w:rPr>
                <w:rStyle w:val="19"/>
                <w:rFonts w:ascii="Times New Roman"/>
                <w:lang w:eastAsia="zh-CN"/>
              </w:rPr>
              <w:t>（实际完成工作数</w:t>
            </w:r>
            <w:r>
              <w:rPr>
                <w:rStyle w:val="20"/>
                <w:rFonts w:eastAsia="仿宋_GB2312"/>
                <w:lang w:eastAsia="zh-CN"/>
              </w:rPr>
              <w:t>/</w:t>
            </w:r>
            <w:r>
              <w:rPr>
                <w:rStyle w:val="21"/>
                <w:rFonts w:hint="default" w:ascii="Times New Roman" w:hAnsi="Times New Roman" w:eastAsia="仿宋_GB2312"/>
                <w:lang w:eastAsia="zh-CN"/>
              </w:rPr>
              <w:t>计划</w:t>
            </w:r>
            <w:r>
              <w:rPr>
                <w:rStyle w:val="19"/>
                <w:rFonts w:ascii="Times New Roman"/>
                <w:lang w:eastAsia="zh-CN"/>
              </w:rPr>
              <w:t>工作数）</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质</w:t>
            </w:r>
            <w:r>
              <w:rPr>
                <w:rStyle w:val="20"/>
                <w:rFonts w:eastAsia="仿宋_GB2312"/>
                <w:lang w:eastAsia="zh-CN"/>
              </w:rPr>
              <w:t xml:space="preserve">  </w:t>
            </w:r>
            <w:r>
              <w:rPr>
                <w:rStyle w:val="19"/>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重点工作质量达标率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9"/>
                <w:rFonts w:ascii="Times New Roman"/>
                <w:lang w:eastAsia="zh-CN"/>
              </w:rPr>
              <w:t>重点工作质量达标率</w:t>
            </w:r>
            <w:r>
              <w:rPr>
                <w:rStyle w:val="20"/>
                <w:rFonts w:eastAsia="仿宋_GB2312"/>
                <w:lang w:eastAsia="zh-CN"/>
              </w:rPr>
              <w:t>=</w:t>
            </w:r>
            <w:r>
              <w:rPr>
                <w:rStyle w:val="19"/>
                <w:rFonts w:ascii="Times New Roman"/>
                <w:lang w:eastAsia="zh-CN"/>
              </w:rPr>
              <w:t>（质量达标工作数</w:t>
            </w:r>
            <w:r>
              <w:rPr>
                <w:rStyle w:val="20"/>
                <w:rFonts w:eastAsia="仿宋_GB2312"/>
                <w:lang w:eastAsia="zh-CN"/>
              </w:rPr>
              <w:t>/</w:t>
            </w:r>
            <w:r>
              <w:rPr>
                <w:rStyle w:val="19"/>
                <w:rFonts w:ascii="Times New Roman"/>
                <w:lang w:eastAsia="zh-CN"/>
              </w:rPr>
              <w:t>实际工作数）</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20"/>
                <w:rFonts w:eastAsia="仿宋_GB2312"/>
                <w:lang w:eastAsia="zh-CN"/>
              </w:rPr>
              <w:t>=</w:t>
            </w:r>
            <w:r>
              <w:rPr>
                <w:rStyle w:val="19"/>
                <w:rFonts w:ascii="Times New Roman"/>
                <w:lang w:eastAsia="zh-CN"/>
              </w:rPr>
              <w:t>（及时完成工作数</w:t>
            </w:r>
            <w:r>
              <w:rPr>
                <w:rStyle w:val="20"/>
                <w:rFonts w:eastAsia="仿宋_GB2312"/>
                <w:lang w:eastAsia="zh-CN"/>
              </w:rPr>
              <w:t>/</w:t>
            </w:r>
            <w:r>
              <w:rPr>
                <w:rStyle w:val="19"/>
                <w:rFonts w:ascii="Times New Roman"/>
                <w:lang w:eastAsia="zh-CN"/>
              </w:rPr>
              <w:t>计划完成工作数）</w:t>
            </w:r>
            <w:r>
              <w:rPr>
                <w:rStyle w:val="20"/>
                <w:rFonts w:eastAsia="仿宋_GB2312"/>
                <w:lang w:eastAsia="zh-CN"/>
              </w:rPr>
              <w:t>×100%</w:t>
            </w:r>
            <w:r>
              <w:rPr>
                <w:rStyle w:val="19"/>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21"/>
                <w:rFonts w:hint="default" w:ascii="Times New Roman" w:hAnsi="Times New Roman" w:eastAsia="仿宋_GB2312"/>
                <w:lang w:eastAsia="zh-CN"/>
              </w:rPr>
              <w:t>得分</w:t>
            </w:r>
            <w:r>
              <w:rPr>
                <w:rStyle w:val="20"/>
                <w:rFonts w:eastAsia="仿宋_GB2312"/>
                <w:lang w:eastAsia="zh-CN"/>
              </w:rPr>
              <w:t>=</w:t>
            </w:r>
            <w:r>
              <w:rPr>
                <w:rStyle w:val="21"/>
                <w:rFonts w:hint="default" w:ascii="Times New Roman" w:hAnsi="Times New Roman" w:eastAsia="仿宋_GB2312"/>
                <w:lang w:eastAsia="zh-CN"/>
              </w:rPr>
              <w:t>重点工作完成及时率</w:t>
            </w:r>
            <w:r>
              <w:rPr>
                <w:rStyle w:val="20"/>
                <w:rFonts w:eastAsia="仿宋_GB2312"/>
                <w:lang w:eastAsia="zh-CN"/>
              </w:rPr>
              <w:t>*</w:t>
            </w:r>
            <w:r>
              <w:rPr>
                <w:rStyle w:val="21"/>
                <w:rFonts w:hint="default" w:ascii="Times New Roman" w:hAnsi="Times New Roman" w:eastAsia="仿宋_GB2312"/>
                <w:lang w:eastAsia="zh-CN"/>
              </w:rPr>
              <w:t>权重。</w:t>
            </w:r>
            <w:r>
              <w:rPr>
                <w:rStyle w:val="20"/>
                <w:rFonts w:eastAsia="仿宋_GB2312"/>
                <w:lang w:eastAsia="zh-CN"/>
              </w:rPr>
              <w:t xml:space="preserve"> </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1"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一般性支出压减率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9"/>
                <w:rFonts w:ascii="Times New Roman"/>
                <w:lang w:eastAsia="zh-CN"/>
              </w:rPr>
              <w:t>一般性支出压减情况</w:t>
            </w:r>
            <w:r>
              <w:rPr>
                <w:rStyle w:val="20"/>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部门效果（</w:t>
            </w:r>
            <w:r>
              <w:rPr>
                <w:rStyle w:val="20"/>
                <w:rFonts w:eastAsia="仿宋_GB2312"/>
                <w:lang w:eastAsia="zh-CN"/>
              </w:rPr>
              <w:t>20</w:t>
            </w:r>
            <w:r>
              <w:rPr>
                <w:rStyle w:val="19"/>
                <w:rFonts w:ascii="Times New Roman"/>
                <w:lang w:eastAsia="zh-CN"/>
              </w:rPr>
              <w:t>分）</w:t>
            </w:r>
          </w:p>
        </w:tc>
        <w:tc>
          <w:tcPr>
            <w:tcW w:w="534" w:type="dxa"/>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经济</w:t>
            </w:r>
          </w:p>
          <w:p>
            <w:pPr>
              <w:jc w:val="center"/>
              <w:textAlignment w:val="center"/>
              <w:rPr>
                <w:rFonts w:eastAsia="仿宋_GB2312"/>
                <w:color w:val="000000"/>
                <w:sz w:val="18"/>
                <w:szCs w:val="18"/>
              </w:rPr>
            </w:pPr>
            <w:r>
              <w:rPr>
                <w:rStyle w:val="19"/>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不适用</w:t>
            </w: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hint="eastAsia" w:ascii="仿宋" w:hAnsi="仿宋" w:eastAsia="仿宋" w:cs="仿宋"/>
                <w:sz w:val="18"/>
                <w:szCs w:val="18"/>
              </w:rPr>
            </w:pPr>
          </w:p>
          <w:p>
            <w:pPr>
              <w:jc w:val="center"/>
              <w:textAlignment w:val="center"/>
              <w:rPr>
                <w:rFonts w:eastAsia="仿宋_GB2312"/>
                <w:color w:val="000000"/>
                <w:sz w:val="18"/>
                <w:szCs w:val="18"/>
              </w:rPr>
            </w:pPr>
            <w:r>
              <w:rPr>
                <w:rFonts w:hint="eastAsia" w:ascii="仿宋" w:hAnsi="仿宋" w:eastAsia="仿宋" w:cs="仿宋"/>
                <w:sz w:val="18"/>
                <w:szCs w:val="18"/>
              </w:rPr>
              <w:t>工作总结；成果汇报资料</w:t>
            </w:r>
          </w:p>
        </w:tc>
        <w:tc>
          <w:tcPr>
            <w:tcW w:w="3889"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20"/>
                <w:rFonts w:eastAsia="仿宋_GB2312"/>
                <w:lang w:eastAsia="zh-CN"/>
              </w:rPr>
              <w:t>5</w:t>
            </w:r>
            <w:r>
              <w:rPr>
                <w:rStyle w:val="19"/>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p>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eastAsia" w:eastAsia="仿宋_GB2312"/>
                <w:color w:val="000000"/>
                <w:sz w:val="18"/>
                <w:szCs w:val="18"/>
                <w:lang w:val="en-US" w:eastAsia="zh-CN"/>
              </w:rPr>
            </w:pPr>
          </w:p>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1"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vMerge w:val="restart"/>
            <w:tcMar>
              <w:top w:w="12" w:type="dxa"/>
              <w:left w:w="12" w:type="dxa"/>
              <w:right w:w="12" w:type="dxa"/>
            </w:tcMar>
            <w:vAlign w:val="center"/>
          </w:tcPr>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19"/>
                <w:rFonts w:ascii="Times New Roman"/>
                <w:lang w:eastAsia="zh-CN"/>
              </w:rPr>
            </w:pPr>
          </w:p>
          <w:p>
            <w:pPr>
              <w:jc w:val="center"/>
              <w:textAlignment w:val="center"/>
              <w:rPr>
                <w:rStyle w:val="20"/>
                <w:rFonts w:eastAsia="仿宋_GB2312"/>
                <w:lang w:eastAsia="zh-CN"/>
              </w:rPr>
            </w:pPr>
            <w:r>
              <w:rPr>
                <w:rStyle w:val="19"/>
                <w:rFonts w:ascii="Times New Roman"/>
                <w:lang w:eastAsia="zh-CN"/>
              </w:rPr>
              <w:t>社会</w:t>
            </w:r>
          </w:p>
          <w:p>
            <w:pPr>
              <w:jc w:val="center"/>
              <w:textAlignment w:val="center"/>
              <w:rPr>
                <w:rFonts w:eastAsia="仿宋_GB2312"/>
                <w:color w:val="000000"/>
                <w:sz w:val="18"/>
                <w:szCs w:val="18"/>
              </w:rPr>
            </w:pPr>
            <w:r>
              <w:rPr>
                <w:rStyle w:val="19"/>
                <w:rFonts w:ascii="Times New Roman"/>
                <w:lang w:eastAsia="zh-CN"/>
              </w:rPr>
              <w:t>效益</w:t>
            </w:r>
          </w:p>
          <w:p>
            <w:pPr>
              <w:jc w:val="center"/>
              <w:textAlignment w:val="center"/>
              <w:rPr>
                <w:rStyle w:val="19"/>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调动领导班子及领导干部积极性、主动性</w:t>
            </w:r>
          </w:p>
        </w:tc>
        <w:tc>
          <w:tcPr>
            <w:tcW w:w="665" w:type="dxa"/>
            <w:tcMar>
              <w:top w:w="12" w:type="dxa"/>
              <w:left w:w="12" w:type="dxa"/>
              <w:right w:w="12" w:type="dxa"/>
            </w:tcMar>
            <w:vAlign w:val="center"/>
          </w:tcPr>
          <w:p>
            <w:pPr>
              <w:jc w:val="center"/>
              <w:rPr>
                <w:rFonts w:eastAsia="仿宋_GB2312"/>
                <w:color w:val="000000"/>
                <w:sz w:val="18"/>
                <w:szCs w:val="18"/>
              </w:rPr>
            </w:pPr>
            <w:r>
              <w:rPr>
                <w:rFonts w:hint="eastAsia" w:ascii="仿宋_GB2312" w:hAnsi="仿宋_GB2312" w:eastAsia="仿宋_GB2312" w:cs="仿宋_GB2312"/>
                <w:color w:val="000000"/>
                <w:sz w:val="18"/>
                <w:szCs w:val="18"/>
                <w:lang w:val="en-US" w:eastAsia="zh-CN"/>
              </w:rPr>
              <w:t>≥</w:t>
            </w:r>
            <w:r>
              <w:rPr>
                <w:rFonts w:hint="eastAsia" w:eastAsia="仿宋_GB2312"/>
                <w:color w:val="000000"/>
                <w:sz w:val="18"/>
                <w:szCs w:val="18"/>
                <w:lang w:val="en-US" w:eastAsia="zh-CN"/>
              </w:rPr>
              <w:t>20%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20%</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ascii="仿宋" w:hAnsi="仿宋" w:eastAsia="仿宋" w:cs="仿宋"/>
                <w:sz w:val="18"/>
                <w:szCs w:val="18"/>
              </w:rPr>
              <w:t>工作总结；成果汇报资料</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大学生村官生活水平得到提升</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w:t>
            </w:r>
            <w:r>
              <w:rPr>
                <w:rFonts w:hint="eastAsia" w:eastAsia="仿宋_GB2312"/>
                <w:color w:val="000000"/>
                <w:sz w:val="18"/>
                <w:szCs w:val="18"/>
                <w:lang w:val="en-US" w:eastAsia="zh-CN"/>
              </w:rPr>
              <w:t>20%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20%</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sz w:val="18"/>
                <w:szCs w:val="18"/>
              </w:rPr>
              <w:t>工作总结；成果汇报资料</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农村党建水平得到提升</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w:t>
            </w: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5%</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sz w:val="18"/>
                <w:szCs w:val="18"/>
              </w:rPr>
              <w:t>工作总结；成果汇报资料</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全县党员干部素质整体提升</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w:t>
            </w:r>
            <w:r>
              <w:rPr>
                <w:rFonts w:hint="eastAsia" w:eastAsia="仿宋_GB2312"/>
                <w:color w:val="000000"/>
                <w:sz w:val="18"/>
                <w:szCs w:val="18"/>
                <w:lang w:val="en-US" w:eastAsia="zh-CN"/>
              </w:rPr>
              <w:t>5%</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5%</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sz w:val="18"/>
                <w:szCs w:val="18"/>
              </w:rPr>
              <w:t>工作总结；成果汇报资料</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促进全县干部作风转变</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w:t>
            </w:r>
            <w:r>
              <w:rPr>
                <w:rFonts w:hint="eastAsia" w:eastAsia="仿宋_GB2312"/>
                <w:color w:val="000000"/>
                <w:sz w:val="18"/>
                <w:szCs w:val="18"/>
                <w:lang w:val="en-US" w:eastAsia="zh-CN"/>
              </w:rPr>
              <w:t>20%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20%</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ascii="仿宋" w:hAnsi="仿宋" w:eastAsia="仿宋" w:cs="仿宋"/>
                <w:sz w:val="18"/>
                <w:szCs w:val="18"/>
              </w:rPr>
              <w:t>工作总结；成果汇报资料</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7" w:hRule="atLeast"/>
        </w:trPr>
        <w:tc>
          <w:tcPr>
            <w:tcW w:w="838" w:type="dxa"/>
            <w:vMerge w:val="continue"/>
            <w:tcMar>
              <w:top w:w="12" w:type="dxa"/>
              <w:left w:w="12" w:type="dxa"/>
              <w:right w:w="12" w:type="dxa"/>
            </w:tcMar>
            <w:vAlign w:val="center"/>
          </w:tcPr>
          <w:p>
            <w:pPr>
              <w:jc w:val="center"/>
              <w:textAlignment w:val="center"/>
              <w:rPr>
                <w:rStyle w:val="19"/>
                <w:rFonts w:ascii="Times New Roman"/>
                <w:lang w:eastAsia="zh-CN"/>
              </w:rPr>
            </w:pPr>
          </w:p>
        </w:tc>
        <w:tc>
          <w:tcPr>
            <w:tcW w:w="534" w:type="dxa"/>
            <w:tcMar>
              <w:top w:w="12" w:type="dxa"/>
              <w:left w:w="12" w:type="dxa"/>
              <w:right w:w="12" w:type="dxa"/>
            </w:tcMar>
            <w:vAlign w:val="center"/>
          </w:tcPr>
          <w:p>
            <w:pPr>
              <w:jc w:val="center"/>
              <w:textAlignment w:val="center"/>
              <w:rPr>
                <w:rStyle w:val="20"/>
                <w:rFonts w:eastAsia="仿宋_GB2312"/>
                <w:lang w:eastAsia="zh-CN"/>
              </w:rPr>
            </w:pPr>
            <w:r>
              <w:rPr>
                <w:rStyle w:val="19"/>
                <w:rFonts w:ascii="Times New Roman"/>
                <w:lang w:eastAsia="zh-CN"/>
              </w:rPr>
              <w:t>生态</w:t>
            </w:r>
          </w:p>
          <w:p>
            <w:pPr>
              <w:jc w:val="center"/>
              <w:textAlignment w:val="center"/>
              <w:rPr>
                <w:rStyle w:val="19"/>
                <w:rFonts w:ascii="Times New Roman"/>
                <w:lang w:eastAsia="zh-CN"/>
              </w:rPr>
            </w:pPr>
            <w:r>
              <w:rPr>
                <w:rStyle w:val="19"/>
                <w:rFonts w:ascii="Times New Roman"/>
                <w:lang w:eastAsia="zh-CN"/>
              </w:rPr>
              <w:t>效益</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不适用</w:t>
            </w: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部门效果（</w:t>
            </w:r>
            <w:r>
              <w:rPr>
                <w:rStyle w:val="20"/>
                <w:rFonts w:eastAsia="仿宋_GB2312"/>
                <w:lang w:eastAsia="zh-CN"/>
              </w:rPr>
              <w:t>20</w:t>
            </w:r>
            <w:r>
              <w:rPr>
                <w:rStyle w:val="19"/>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满意度</w:t>
            </w:r>
          </w:p>
        </w:tc>
        <w:tc>
          <w:tcPr>
            <w:tcW w:w="70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受益群体满意度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90%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val="en-US" w:eastAsia="zh-CN"/>
              </w:rPr>
              <w:t>工作总结</w:t>
            </w:r>
          </w:p>
        </w:tc>
        <w:tc>
          <w:tcPr>
            <w:tcW w:w="3889" w:type="dxa"/>
            <w:tcMar>
              <w:top w:w="12" w:type="dxa"/>
              <w:left w:w="12" w:type="dxa"/>
              <w:right w:w="12" w:type="dxa"/>
            </w:tcMar>
            <w:vAlign w:val="center"/>
          </w:tcPr>
          <w:p>
            <w:pPr>
              <w:jc w:val="both"/>
              <w:textAlignment w:val="center"/>
              <w:rPr>
                <w:rFonts w:hint="default" w:eastAsia="仿宋_GB2312"/>
                <w:sz w:val="18"/>
                <w:szCs w:val="18"/>
                <w:lang w:val="en-US" w:eastAsia="zh-CN"/>
              </w:rPr>
            </w:pPr>
            <w:r>
              <w:rPr>
                <w:rFonts w:hint="eastAsia" w:eastAsia="仿宋_GB2312"/>
                <w:color w:val="000000"/>
                <w:sz w:val="18"/>
                <w:szCs w:val="18"/>
                <w:lang w:val="en-US" w:eastAsia="zh-CN"/>
              </w:rPr>
              <w:t>全县党员群众对我部组织工作满意度</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both"/>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19"/>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3"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center"/>
          </w:tcPr>
          <w:p>
            <w:pPr>
              <w:spacing w:line="640" w:lineRule="atLeast"/>
              <w:ind w:firstLine="1260" w:firstLineChars="700"/>
              <w:jc w:val="center"/>
              <w:rPr>
                <w:rFonts w:eastAsia="仿宋_GB2312"/>
                <w:color w:val="000000"/>
                <w:sz w:val="18"/>
                <w:szCs w:val="18"/>
              </w:rPr>
            </w:pPr>
            <w:r>
              <w:rPr>
                <w:rFonts w:ascii="仿宋_GB2312" w:hAnsi="Tahoma" w:eastAsia="仿宋_GB2312" w:cs="Tahoma"/>
                <w:kern w:val="0"/>
                <w:sz w:val="18"/>
                <w:szCs w:val="18"/>
              </w:rPr>
              <w:t>项目绩效评价综合得分平均为</w:t>
            </w:r>
            <w:r>
              <w:rPr>
                <w:rFonts w:hint="eastAsia" w:ascii="仿宋_GB2312" w:hAnsi="Tahoma" w:eastAsia="仿宋_GB2312" w:cs="Tahoma"/>
                <w:kern w:val="0"/>
                <w:sz w:val="18"/>
                <w:szCs w:val="18"/>
                <w:lang w:val="en-US" w:eastAsia="zh-CN"/>
              </w:rPr>
              <w:t>99.4</w:t>
            </w:r>
            <w:r>
              <w:rPr>
                <w:rFonts w:hint="eastAsia" w:ascii="仿宋_GB2312" w:hAnsi="Tahoma" w:eastAsia="仿宋_GB2312" w:cs="Tahoma"/>
                <w:kern w:val="0"/>
                <w:sz w:val="18"/>
                <w:szCs w:val="18"/>
              </w:rPr>
              <w:t>分</w:t>
            </w:r>
            <w:r>
              <w:rPr>
                <w:rFonts w:ascii="仿宋_GB2312" w:hAnsi="Tahoma" w:eastAsia="仿宋_GB2312" w:cs="Tahoma"/>
                <w:kern w:val="0"/>
                <w:sz w:val="18"/>
                <w:szCs w:val="18"/>
              </w:rPr>
              <w:t>，绩效评价综合等级为</w:t>
            </w:r>
            <w:r>
              <w:rPr>
                <w:rFonts w:hint="eastAsia" w:ascii="仿宋_GB2312" w:hAnsi="Tahoma" w:eastAsia="仿宋_GB2312" w:cs="Tahoma"/>
                <w:kern w:val="0"/>
                <w:sz w:val="18"/>
                <w:szCs w:val="18"/>
              </w:rPr>
              <w:t>优</w:t>
            </w:r>
            <w:r>
              <w:rPr>
                <w:rFonts w:ascii="仿宋_GB2312" w:hAnsi="Tahoma" w:eastAsia="仿宋_GB2312" w:cs="Tahoma"/>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指标均已完成。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村干部离任养老金未按照新标准执行，导致部分经费未支出；</w:t>
            </w:r>
            <w:r>
              <w:rPr>
                <w:rFonts w:hint="eastAsia" w:eastAsia="仿宋_GB2312"/>
                <w:color w:val="000000"/>
                <w:sz w:val="18"/>
                <w:szCs w:val="18"/>
                <w:lang w:eastAsia="zh-CN"/>
              </w:rPr>
              <w:t>离休人员医疗费由</w:t>
            </w:r>
            <w:r>
              <w:rPr>
                <w:rFonts w:eastAsia="仿宋_GB2312"/>
                <w:color w:val="000000"/>
                <w:sz w:val="18"/>
                <w:szCs w:val="18"/>
                <w:lang w:eastAsia="zh-CN"/>
              </w:rPr>
              <w:t>216</w:t>
            </w:r>
            <w:r>
              <w:rPr>
                <w:rFonts w:hint="eastAsia" w:eastAsia="仿宋_GB2312"/>
                <w:color w:val="000000"/>
                <w:sz w:val="18"/>
                <w:szCs w:val="18"/>
                <w:lang w:eastAsia="zh-CN"/>
              </w:rPr>
              <w:t>万追加到离退休干部春节、重阳节慰问金以及离退休统筹外工资有剩余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村干部离任养老金未按照新标准执行，导致部分经费未支出；</w:t>
            </w:r>
            <w:r>
              <w:rPr>
                <w:rFonts w:hint="eastAsia" w:eastAsia="仿宋_GB2312"/>
                <w:color w:val="000000"/>
                <w:sz w:val="18"/>
                <w:szCs w:val="18"/>
                <w:lang w:eastAsia="zh-CN"/>
              </w:rPr>
              <w:t>离休人员医疗费用不确定以及离退休人员去世人员变化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根据本单位工作需要，认真编制预算，按照预算要求严格控制支出的合理性合法性，规范支出渠道，认真细致编制决算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严格</w:t>
            </w:r>
            <w:r>
              <w:rPr>
                <w:rFonts w:hint="eastAsia" w:eastAsia="仿宋_GB2312"/>
                <w:color w:val="000000"/>
                <w:sz w:val="18"/>
                <w:szCs w:val="18"/>
                <w:lang w:val="en-US" w:eastAsia="zh-CN"/>
              </w:rPr>
              <w:t>执行机关各项规</w:t>
            </w:r>
            <w:bookmarkStart w:id="0" w:name="_GoBack"/>
            <w:bookmarkEnd w:id="0"/>
            <w:r>
              <w:rPr>
                <w:rFonts w:hint="eastAsia" w:eastAsia="仿宋_GB2312"/>
                <w:color w:val="000000"/>
                <w:sz w:val="18"/>
                <w:szCs w:val="18"/>
                <w:lang w:val="en-US" w:eastAsia="zh-CN"/>
              </w:rPr>
              <w:t>章制度、</w:t>
            </w:r>
            <w:r>
              <w:rPr>
                <w:rFonts w:hint="eastAsia" w:eastAsia="仿宋_GB2312"/>
                <w:color w:val="000000"/>
                <w:sz w:val="18"/>
                <w:szCs w:val="18"/>
                <w:lang w:eastAsia="zh-CN"/>
              </w:rPr>
              <w:t>单位财务制度、人事管理制度，对资产配置做到物尽其用，严格管理，杜绝浪费。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pgBorders>
            <w:top w:val="none" w:sz="0" w:space="0"/>
            <w:left w:val="none" w:sz="0" w:space="0"/>
            <w:bottom w:val="none" w:sz="0" w:space="0"/>
            <w:right w:val="none" w:sz="0" w:space="0"/>
          </w:pgBorders>
          <w:cols w:space="720" w:num="1"/>
          <w:docGrid w:linePitch="360" w:charSpace="0"/>
        </w:sect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val="en-US" w:eastAsia="zh-CN"/>
        </w:rPr>
      </w:pPr>
      <w:r>
        <w:rPr>
          <w:rFonts w:hint="eastAsia" w:ascii="宋体" w:hAnsi="宋体" w:cs="宋体"/>
          <w:b/>
          <w:bCs/>
          <w:sz w:val="44"/>
          <w:szCs w:val="44"/>
          <w:lang w:val="en-US" w:eastAsia="zh-CN"/>
        </w:rPr>
        <w:t>中共香河县委组织部</w:t>
      </w: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整体绩效自评报告</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hint="default" w:eastAsia="仿宋_GB2312"/>
          <w:sz w:val="30"/>
          <w:szCs w:val="30"/>
          <w:lang w:val="en-US" w:eastAsia="zh-CN"/>
        </w:rPr>
      </w:pPr>
      <w:r>
        <w:rPr>
          <w:rFonts w:hint="eastAsia" w:eastAsia="仿宋_GB2312"/>
          <w:sz w:val="30"/>
          <w:szCs w:val="30"/>
          <w:lang w:eastAsia="zh-CN"/>
        </w:rPr>
        <w:t>部门（单位）名称：</w:t>
      </w:r>
      <w:r>
        <w:rPr>
          <w:rFonts w:hint="eastAsia" w:eastAsia="仿宋_GB2312"/>
          <w:sz w:val="30"/>
          <w:szCs w:val="30"/>
          <w:lang w:val="en-US" w:eastAsia="zh-CN"/>
        </w:rPr>
        <w:t>中共香河县委组织部</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w:t>
      </w:r>
      <w:r>
        <w:rPr>
          <w:rFonts w:hint="eastAsia" w:eastAsia="仿宋_GB2312"/>
          <w:sz w:val="30"/>
          <w:szCs w:val="30"/>
          <w:lang w:val="en-US" w:eastAsia="zh-CN"/>
        </w:rPr>
        <w:t>中共香河县委组织部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val="en-US" w:eastAsia="zh-CN"/>
        </w:rPr>
        <w:t>2020</w:t>
      </w:r>
      <w:r>
        <w:rPr>
          <w:rFonts w:hint="eastAsia" w:eastAsia="仿宋_GB2312"/>
          <w:sz w:val="30"/>
          <w:szCs w:val="30"/>
          <w:lang w:eastAsia="zh-CN"/>
        </w:rPr>
        <w:t>年</w:t>
      </w:r>
      <w:r>
        <w:rPr>
          <w:rFonts w:hint="eastAsia" w:eastAsia="仿宋_GB2312"/>
          <w:sz w:val="30"/>
          <w:szCs w:val="30"/>
          <w:lang w:val="en-US" w:eastAsia="zh-CN"/>
        </w:rPr>
        <w:t>11</w:t>
      </w:r>
      <w:r>
        <w:rPr>
          <w:rFonts w:hint="eastAsia" w:eastAsia="仿宋_GB2312"/>
          <w:sz w:val="30"/>
          <w:szCs w:val="30"/>
          <w:lang w:eastAsia="zh-CN"/>
        </w:rPr>
        <w:t>月</w:t>
      </w:r>
      <w:r>
        <w:rPr>
          <w:rFonts w:hint="eastAsia" w:eastAsia="仿宋_GB2312"/>
          <w:sz w:val="30"/>
          <w:szCs w:val="30"/>
          <w:lang w:val="en-US" w:eastAsia="zh-CN"/>
        </w:rPr>
        <w:t>24</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spacing w:line="640" w:lineRule="atLeast"/>
        <w:jc w:val="center"/>
        <w:rPr>
          <w:rFonts w:hint="eastAsia" w:ascii="宋体" w:hAnsi="宋体" w:cs="Tahoma"/>
          <w:b/>
          <w:kern w:val="0"/>
          <w:sz w:val="44"/>
          <w:szCs w:val="44"/>
        </w:rPr>
      </w:pP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ahoma" w:eastAsia="黑体" w:cs="Tahoma"/>
          <w:kern w:val="0"/>
          <w:sz w:val="32"/>
          <w:szCs w:val="32"/>
          <w:lang w:val="en-US" w:eastAsia="zh-CN"/>
        </w:rPr>
      </w:pPr>
      <w:r>
        <w:rPr>
          <w:rFonts w:hint="eastAsia" w:ascii="黑体" w:hAnsi="Tahoma" w:eastAsia="黑体" w:cs="Tahoma"/>
          <w:kern w:val="0"/>
          <w:sz w:val="32"/>
          <w:szCs w:val="32"/>
        </w:rPr>
        <w:t>一、部门</w:t>
      </w:r>
      <w:r>
        <w:rPr>
          <w:rFonts w:hint="eastAsia" w:ascii="黑体" w:hAnsi="Tahoma" w:eastAsia="黑体" w:cs="Tahoma"/>
          <w:kern w:val="0"/>
          <w:sz w:val="32"/>
          <w:szCs w:val="32"/>
          <w:lang w:val="en-US" w:eastAsia="zh-CN"/>
        </w:rPr>
        <w:t>概况</w:t>
      </w:r>
    </w:p>
    <w:p>
      <w:pPr>
        <w:keepNext w:val="0"/>
        <w:keepLines w:val="0"/>
        <w:pageBreakBefore w:val="0"/>
        <w:widowControl/>
        <w:kinsoku/>
        <w:wordWrap/>
        <w:overflowPunct/>
        <w:topLinePunct w:val="0"/>
        <w:bidi w:val="0"/>
        <w:snapToGrid/>
        <w:spacing w:line="560" w:lineRule="exact"/>
        <w:ind w:firstLine="643" w:firstLineChars="200"/>
        <w:textAlignment w:val="auto"/>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rPr>
        <w:t>（一）部门（单位）主要职责职能，组织架构、人员及资产等基本情况。</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中共香河县委组织部（简称县委组织部）为县委负责全县组织工作的工作机关，机构规格正科级；县委组织部加挂县委老干部局、县公务员局牌子。县委组织部的主要职责是：</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ab/>
      </w:r>
      <w:r>
        <w:rPr>
          <w:rFonts w:hint="eastAsia" w:ascii="仿宋" w:hAnsi="仿宋" w:eastAsia="仿宋"/>
          <w:sz w:val="32"/>
          <w:szCs w:val="32"/>
          <w:lang w:val="en-US" w:eastAsia="zh-CN"/>
        </w:rPr>
        <w:t>1、</w:t>
      </w:r>
      <w:r>
        <w:rPr>
          <w:rFonts w:hint="eastAsia" w:ascii="仿宋" w:hAnsi="仿宋" w:eastAsia="仿宋"/>
          <w:sz w:val="32"/>
          <w:szCs w:val="32"/>
        </w:rPr>
        <w:t>承担县委党的建设（基层组织建设）工作领导小组办公室工作职责。贯彻执行党的组织工作路线、方针、政策和上级有关政策规定，围绕党的重大理论和实践问题调查研究，提出加强全县党的建设的建议；负责党的建设制度改革的宏观指导，综合研究党的组织工作、干部工作、人才工作重要方针政策，制定或参与制定全县性重要政策和制度。</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负责全县党的组织体系建设，特别是各领域基层党组织建设的调查研究、宏观指导和有关政策的制定落实。统筹全县基层党组织干部队伍建设、党员队伍建设、组织员队伍建设的宏观指导以及全县党员发展、教育、管理工作。指导全县党的组织制度、党内生活制度建设；负责全县出席全国、省、市党代会代表推荐及协调指导全县党代表大会、党代表会议、人民代表大会的选举工作；负责全县党代表大会代表的日常管理和服务工作；负责全县抓党建促脱贫攻坚工作的谋划指导和组织推动；承担县委非公有制经济组织和社会组织工作委员会职责。</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负责各级领导班子和干部队伍建设的宏观管理。研究提出领导班子和领导干部队伍建设规划以及干部管理体制的建议，指导领导班子思想作风建设；负责事业单位领导人员宏观管理；负责提出县委管理的领导班子调整、配备的建议；负责县委管理干部的考察，办理职务任免、工资、待遇、退休审批手续；综合管理优秀年轻干部队伍，统筹选育管用工作，指导协调妇女干部、少数民族干部和党外干部培养选拔工作；负责援疆援藏援坝干部人才的选派管理及有关工作；会同有关部门做好军转干部的安置工作；负责全县选调生、大学生村官的管理、培养和宏观指导。</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负责全县干部教育培训的宏观管理、统筹协调、指导检查；研究拟订全县干部教育工作规划；组织实施县委管理干部和一定层次其他干部的培训，并按照上级要求组织选调干部参加培训；承担县委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宏观指导全县县级机关内设机构和工作人员目标绩效管理考核工作；负责全县科级干部目标绩效管理考核；承担县委干部考核领导小组办公室职责。</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负责研究拟订公务员、参照公务员法管理事业单位工作人员管理政策并组织实施。负责公务员、参照公务员法管理事业单位工作人员信息采集、统计及录用调配、培训、考核奖惩、工资福利、档案管理等工作；指导全县公务员、参照公务员法管理事业单位工作人员队伍建设。</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负责全县人才工作和人才队伍建设的牵头抓总、统筹协调、推进落实。负责牵头人才规划的制定、实施，人才发展体制机制的改革推进；负责“两院”院士、省管高层次人才、市管专家及县管专家和县域特色人才的联系服务工作；负责县管优秀专家和县域特色人才的选拔管理；承担县委人才工作领导小组办公室职责。</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全面贯彻加强党对离退休干部工作集中统一领导要求。负责宣传贯彻落实党中央国务院、省委省政府、市委市政府和县委县政府关于离退休干部工作的方针政策；拟订或参与拟订全县离退休干部工作有关具体规定和办法；总结宣传全县离退休干部工作和先进典型。负责指导、督促、检查各部门离退休干部工作；组织和协调有关部门做好离退休干部工作。负责指导、督促、检查各部门离退休干部的政治和生活待遇的落实，做好走访慰问工作。抓好离退休干部“两费”（离休费、医药费）的落实；调查研究离退休干部政治和生活待遇落实工作中存在的问题，协调有关部门提出解决办法。加强对全县离退休干部的政治引领和教育管理；加强和改进新形势下离退休干部的思想政治工作及离退休干部党组织建设。负责全县老干部活动中心、老年大学和老干部门诊等阵地建设和管理。负责指导各单位组织离退休干部利用自身优势，在政治、经济、文化和青少年教育等领域发挥作用，增添正能量。了解离退休干部对医疗保健方面的意见和要求，组织指导离退休干部开展文化健身、保健讲座、健康疗养、参观学习等活动。按照有关政策规定，做好离退休干部的安置工作（包括易地安置）。负责回县老干部探亲访友和各省市县老干部工作部门来县的联络接待工作。负责指导逝世老干部的善后工作。承担县委老干部工作领导小组的日常工作。</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研究制定新时代加强组织部门自身建设的意见和措施，推进党建数字化、信息化建设。</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负责全县组织工作的检查督促，及时向县委反映重要情况，提出建议。</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统一管理县委机构编制委员会办公室。</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完成县委交办的其他任务。</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部门机构设置情况：单位名称</w:t>
      </w:r>
      <w:r>
        <w:rPr>
          <w:rFonts w:hint="eastAsia" w:ascii="仿宋" w:hAnsi="仿宋" w:eastAsia="仿宋"/>
          <w:sz w:val="32"/>
          <w:szCs w:val="32"/>
          <w:lang w:val="en-US" w:eastAsia="zh-CN"/>
        </w:rPr>
        <w:t>中共香河县委组织部</w:t>
      </w:r>
      <w:r>
        <w:rPr>
          <w:rFonts w:hint="eastAsia" w:ascii="仿宋" w:hAnsi="仿宋" w:eastAsia="仿宋"/>
          <w:sz w:val="32"/>
          <w:szCs w:val="32"/>
        </w:rPr>
        <w:t>，单位性质行政，单位规格正科级，下设机构1.办公室，2.研究室（政策法规股、组织史资料征编办公室），3.干部一股，4.干部二股，5.干部三股，6.公务员管理股（县公务员局），7.干部监督股（巡察工作联络办公室），8.干部考核股，9.人才工作股，10.老干部管理股（县关心下一代工作委员会办公室）</w:t>
      </w:r>
      <w:r>
        <w:rPr>
          <w:rFonts w:hint="eastAsia" w:ascii="仿宋" w:hAnsi="仿宋" w:eastAsia="仿宋"/>
          <w:sz w:val="32"/>
          <w:szCs w:val="32"/>
          <w:lang w:eastAsia="zh-CN"/>
        </w:rPr>
        <w:t>，</w:t>
      </w:r>
      <w:r>
        <w:rPr>
          <w:rFonts w:hint="eastAsia" w:ascii="仿宋" w:hAnsi="仿宋" w:eastAsia="仿宋"/>
          <w:sz w:val="32"/>
          <w:szCs w:val="32"/>
          <w:lang w:val="en-US" w:eastAsia="zh-CN"/>
        </w:rPr>
        <w:t>11.组织一股，12.组织二股,13.组织员办公室,14.老干部服务中心</w:t>
      </w:r>
      <w:r>
        <w:rPr>
          <w:rFonts w:hint="eastAsia" w:ascii="仿宋" w:hAnsi="仿宋" w:eastAsia="仿宋"/>
          <w:sz w:val="32"/>
          <w:szCs w:val="32"/>
        </w:rPr>
        <w:t>。机关编制为</w:t>
      </w:r>
      <w:r>
        <w:rPr>
          <w:rFonts w:hint="eastAsia" w:ascii="仿宋" w:hAnsi="仿宋" w:eastAsia="仿宋"/>
          <w:sz w:val="32"/>
          <w:szCs w:val="32"/>
          <w:lang w:val="en-US" w:eastAsia="zh-CN"/>
        </w:rPr>
        <w:t>50</w:t>
      </w:r>
      <w:r>
        <w:rPr>
          <w:rFonts w:hint="eastAsia" w:ascii="仿宋" w:hAnsi="仿宋" w:eastAsia="仿宋"/>
          <w:sz w:val="32"/>
          <w:szCs w:val="32"/>
        </w:rPr>
        <w:t>名，其中行政编制</w:t>
      </w:r>
      <w:r>
        <w:rPr>
          <w:rFonts w:hint="eastAsia" w:ascii="仿宋" w:hAnsi="仿宋" w:eastAsia="仿宋"/>
          <w:sz w:val="32"/>
          <w:szCs w:val="32"/>
          <w:lang w:val="en-US" w:eastAsia="zh-CN"/>
        </w:rPr>
        <w:t>32</w:t>
      </w:r>
      <w:r>
        <w:rPr>
          <w:rFonts w:hint="eastAsia" w:ascii="仿宋" w:hAnsi="仿宋" w:eastAsia="仿宋"/>
          <w:sz w:val="32"/>
          <w:szCs w:val="32"/>
        </w:rPr>
        <w:t>名，锁定事业编制</w:t>
      </w:r>
      <w:r>
        <w:rPr>
          <w:rFonts w:hint="eastAsia" w:ascii="仿宋" w:hAnsi="仿宋" w:eastAsia="仿宋"/>
          <w:sz w:val="32"/>
          <w:szCs w:val="32"/>
          <w:lang w:val="en-US" w:eastAsia="zh-CN"/>
        </w:rPr>
        <w:t>16</w:t>
      </w:r>
      <w:r>
        <w:rPr>
          <w:rFonts w:hint="eastAsia" w:ascii="仿宋" w:hAnsi="仿宋" w:eastAsia="仿宋"/>
          <w:sz w:val="32"/>
          <w:szCs w:val="32"/>
        </w:rPr>
        <w:t>名，工勤编制</w:t>
      </w:r>
      <w:r>
        <w:rPr>
          <w:rFonts w:hint="eastAsia" w:ascii="仿宋" w:hAnsi="仿宋" w:eastAsia="仿宋"/>
          <w:sz w:val="32"/>
          <w:szCs w:val="32"/>
          <w:lang w:val="en-US" w:eastAsia="zh-CN"/>
        </w:rPr>
        <w:t>2</w:t>
      </w:r>
      <w:r>
        <w:rPr>
          <w:rFonts w:hint="eastAsia" w:ascii="仿宋" w:hAnsi="仿宋" w:eastAsia="仿宋"/>
          <w:sz w:val="32"/>
          <w:szCs w:val="32"/>
        </w:rPr>
        <w:t>名。</w:t>
      </w:r>
      <w:r>
        <w:rPr>
          <w:rFonts w:hint="eastAsia" w:ascii="仿宋" w:hAnsi="仿宋" w:eastAsia="仿宋"/>
          <w:sz w:val="32"/>
          <w:szCs w:val="32"/>
          <w:lang w:val="en-US" w:eastAsia="zh-CN"/>
        </w:rPr>
        <w:t>中共香河县委组织部</w:t>
      </w:r>
      <w:r>
        <w:rPr>
          <w:rFonts w:hint="eastAsia" w:ascii="仿宋" w:hAnsi="仿宋" w:eastAsia="仿宋"/>
          <w:sz w:val="32"/>
          <w:szCs w:val="32"/>
        </w:rPr>
        <w:t>（含所属单位）上年末固定资产金额为</w:t>
      </w:r>
      <w:r>
        <w:rPr>
          <w:rFonts w:hint="eastAsia" w:ascii="仿宋" w:hAnsi="仿宋" w:eastAsia="仿宋"/>
          <w:color w:val="4F81BD" w:themeColor="accent1"/>
          <w:sz w:val="32"/>
          <w:szCs w:val="32"/>
          <w:lang w:val="en-US" w:eastAsia="zh-CN"/>
        </w:rPr>
        <w:t>137.4057</w:t>
      </w:r>
      <w:r>
        <w:rPr>
          <w:rFonts w:hint="eastAsia" w:ascii="仿宋" w:hAnsi="仿宋" w:eastAsia="仿宋"/>
          <w:sz w:val="32"/>
          <w:szCs w:val="32"/>
        </w:rPr>
        <w:t>万元。</w:t>
      </w:r>
    </w:p>
    <w:p>
      <w:pPr>
        <w:keepNext w:val="0"/>
        <w:keepLines w:val="0"/>
        <w:pageBreakBefore w:val="0"/>
        <w:widowControl/>
        <w:tabs>
          <w:tab w:val="left" w:pos="620"/>
        </w:tabs>
        <w:kinsoku/>
        <w:wordWrap/>
        <w:overflowPunct/>
        <w:topLinePunct w:val="0"/>
        <w:bidi w:val="0"/>
        <w:snapToGrid/>
        <w:spacing w:line="560" w:lineRule="exact"/>
        <w:ind w:firstLine="640" w:firstLineChars="200"/>
        <w:textAlignment w:val="auto"/>
        <w:rPr>
          <w:rFonts w:hint="eastAsia" w:ascii="仿宋_GB2312" w:hAnsi="Tahoma" w:eastAsia="仿宋_GB2312" w:cs="Tahoma"/>
          <w:kern w:val="0"/>
          <w:sz w:val="32"/>
          <w:szCs w:val="32"/>
        </w:rPr>
      </w:pPr>
      <w:r>
        <w:rPr>
          <w:rFonts w:hint="eastAsia" w:ascii="仿宋_GB2312" w:hAnsi="Tahoma" w:eastAsia="仿宋_GB2312" w:cs="Tahoma"/>
          <w:kern w:val="0"/>
          <w:sz w:val="32"/>
          <w:szCs w:val="32"/>
        </w:rPr>
        <w:t>经自评，县委组织部实得</w:t>
      </w:r>
      <w:r>
        <w:rPr>
          <w:rFonts w:hint="eastAsia" w:ascii="仿宋_GB2312" w:hAnsi="Tahoma" w:eastAsia="仿宋_GB2312" w:cs="Tahoma"/>
          <w:kern w:val="0"/>
          <w:sz w:val="32"/>
          <w:szCs w:val="32"/>
          <w:highlight w:val="yellow"/>
          <w:lang w:val="en-US" w:eastAsia="zh-CN"/>
        </w:rPr>
        <w:t>99.4</w:t>
      </w:r>
      <w:r>
        <w:rPr>
          <w:rFonts w:hint="eastAsia" w:ascii="仿宋_GB2312" w:hAnsi="Tahoma" w:eastAsia="仿宋_GB2312" w:cs="Tahoma"/>
          <w:kern w:val="0"/>
          <w:sz w:val="32"/>
          <w:szCs w:val="32"/>
        </w:rPr>
        <w:t>分.</w:t>
      </w:r>
    </w:p>
    <w:p>
      <w:pPr>
        <w:keepNext w:val="0"/>
        <w:keepLines w:val="0"/>
        <w:pageBreakBefore w:val="0"/>
        <w:widowControl/>
        <w:kinsoku/>
        <w:wordWrap/>
        <w:overflowPunct/>
        <w:topLinePunct w:val="0"/>
        <w:bidi w:val="0"/>
        <w:snapToGrid/>
        <w:spacing w:line="560" w:lineRule="exact"/>
        <w:ind w:firstLine="643" w:firstLineChars="200"/>
        <w:textAlignment w:val="auto"/>
        <w:rPr>
          <w:rFonts w:hint="eastAsia" w:ascii="仿宋_GB2312" w:hAnsi="Tahoma" w:eastAsia="仿宋_GB2312" w:cs="Tahoma"/>
          <w:kern w:val="0"/>
          <w:sz w:val="32"/>
          <w:szCs w:val="32"/>
        </w:rPr>
      </w:pPr>
      <w:r>
        <w:rPr>
          <w:rFonts w:hint="eastAsia" w:ascii="仿宋_GB2312" w:hAnsi="Tahoma" w:eastAsia="仿宋_GB2312" w:cs="Tahoma"/>
          <w:b/>
          <w:bCs/>
          <w:kern w:val="0"/>
          <w:sz w:val="32"/>
          <w:szCs w:val="32"/>
          <w:lang w:eastAsia="zh-CN"/>
        </w:rPr>
        <w:t>（</w:t>
      </w:r>
      <w:r>
        <w:rPr>
          <w:rFonts w:hint="eastAsia" w:ascii="仿宋_GB2312" w:hAnsi="Tahoma" w:eastAsia="仿宋_GB2312" w:cs="Tahoma"/>
          <w:b/>
          <w:bCs/>
          <w:kern w:val="0"/>
          <w:sz w:val="32"/>
          <w:szCs w:val="32"/>
          <w:lang w:val="en-US" w:eastAsia="zh-CN"/>
        </w:rPr>
        <w:t>二</w:t>
      </w:r>
      <w:r>
        <w:rPr>
          <w:rFonts w:hint="eastAsia" w:ascii="仿宋_GB2312" w:hAnsi="Tahoma" w:eastAsia="仿宋_GB2312" w:cs="Tahoma"/>
          <w:b/>
          <w:bCs/>
          <w:kern w:val="0"/>
          <w:sz w:val="32"/>
          <w:szCs w:val="32"/>
          <w:lang w:eastAsia="zh-CN"/>
        </w:rPr>
        <w:t>）</w:t>
      </w:r>
      <w:r>
        <w:rPr>
          <w:rFonts w:hint="eastAsia" w:ascii="仿宋_GB2312" w:hAnsi="Tahoma" w:eastAsia="仿宋_GB2312" w:cs="Tahoma"/>
          <w:b/>
          <w:bCs/>
          <w:kern w:val="0"/>
          <w:sz w:val="32"/>
          <w:szCs w:val="32"/>
        </w:rPr>
        <w:t>当年部门（单位）履职总体目标、工作任务。</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党组织建设及党员教育管理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加强基层领导班子建设；加强非公经济组织和社会组织党建工作；加强全县大学生村官队伍建设；健全全县党的组织制度、党内生活制度建设；加强民主集中制建设和民主生活会宏观指导；协调和指导县党代会、人代会、政协会和乡镇党代会、人代会；做好代表补选、罢免等事宜。</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市县委管理干部管理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配合市组部做好市管干部任职考察；协助市组部做好市管干部的日常管理；做好县乡领导班子换届工作；负责县委管理干部的考察和办理任免、退休审批手续；参与研究全县干部工资政策和县管干部离退休待遇政策；落实市管理干部工资、审批县管干部工资及退休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干部队伍管理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完成县管领导班子和领导干部年度综合考核评价工作，加强干部监督调研，做好科以下年度考核及奖励工作，做好年度招录选调生工作。</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干部培养选拔</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组织落实培养选拔后备干部、妇女干部、少数民族干部工作。做好年度省市县乡“四级联考”招录工作。</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援边干部管理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受援地与支援地交流交融交往不断深入，干部人才为受援地经济发展和社会稳定做出应有贡献。</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干部教育培训</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建立规范的干部教育培训体系；不断提高工作的科学化、制度化、规范化水平。</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全县人才工作及队伍建设</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做好全局性人才工作事项的统筹谋划，推进重点领域和关键环节内人才发展体制改革，抓好重要人才政策的制定实施、重大人才工作项目的组织开展、重点人才的选拔服务等工作；承担县委人才工作领导小组有关会议筹备、文件起草、协调联络服务等工作；代县委联系县高端人才、“千人计划”专家、县管优秀专家等高层次专家人才，围绕人才理论和全县人才工作进展中的实际问题开展调查研究，提出加强和改进人才工作的意见和建议。</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综合事务管理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绩效目标：全力做好组织工作综合研究、重要文稿起草、重点课题调研、党建制度改革相关工作、组织史资料征编等工作，为领导决策提供科学依据。组织、指导、协调全县组织系统新闻和网络宣传工作；网络运行正常。</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公务员管理</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加强对各县（县、区）公务员管理工作的监督与指导，提高公务员依法行政、管理能力。</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10、</w:t>
      </w:r>
      <w:r>
        <w:rPr>
          <w:rFonts w:hint="eastAsia" w:ascii="仿宋" w:hAnsi="仿宋" w:eastAsia="仿宋" w:cs="仿宋_GB2312"/>
          <w:sz w:val="32"/>
          <w:szCs w:val="32"/>
          <w:lang w:eastAsia="zh-CN"/>
        </w:rPr>
        <w:t>贯彻落实国家关于离退休干部的方针政策，组织落实离退休干部政治生活待遇，组织老干部参加社会、文体活动，加强老干部基层组织建设，构建终身教育体系。组织开展多样性老年体育活动；组织老同志参加青少年教育活动。</w:t>
      </w:r>
    </w:p>
    <w:p>
      <w:pPr>
        <w:keepNext w:val="0"/>
        <w:keepLines w:val="0"/>
        <w:pageBreakBefore w:val="0"/>
        <w:widowControl/>
        <w:numPr>
          <w:ilvl w:val="0"/>
          <w:numId w:val="0"/>
        </w:numPr>
        <w:tabs>
          <w:tab w:val="left" w:pos="620"/>
        </w:tabs>
        <w:kinsoku/>
        <w:wordWrap/>
        <w:overflowPunct/>
        <w:topLinePunct w:val="0"/>
        <w:bidi w:val="0"/>
        <w:snapToGrid/>
        <w:spacing w:line="560" w:lineRule="exact"/>
        <w:ind w:left="630" w:leftChars="0"/>
        <w:textAlignment w:val="auto"/>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rPr>
        <w:t>（三）当年部门（单位）年度整体绩效目标。</w:t>
      </w:r>
    </w:p>
    <w:p>
      <w:pPr>
        <w:autoSpaceDE w:val="0"/>
        <w:autoSpaceDN w:val="0"/>
        <w:adjustRightInd w:val="0"/>
        <w:spacing w:line="500" w:lineRule="exact"/>
        <w:ind w:firstLine="640" w:firstLineChars="200"/>
        <w:rPr>
          <w:rFonts w:ascii="仿宋" w:hAnsi="仿宋" w:eastAsia="仿宋" w:cs="仿宋_GB2312"/>
          <w:sz w:val="32"/>
          <w:szCs w:val="32"/>
          <w:lang w:eastAsia="zh-CN"/>
        </w:rPr>
      </w:pPr>
      <w:r>
        <w:rPr>
          <w:rFonts w:hint="eastAsia" w:ascii="仿宋_GB2312" w:hAnsi="Tahoma" w:eastAsia="仿宋_GB2312" w:cs="Tahoma"/>
          <w:kern w:val="0"/>
          <w:sz w:val="32"/>
          <w:szCs w:val="32"/>
        </w:rPr>
        <w:t>通过全面加强全县基层党组织、党员队伍、领导班子和领导干部、公务员队伍的建设工作，使我县基层党建工作在全市处于先进水平，对专家人才的待遇措施落实到位，为县委科学精准选人用人提供组织保障，实现党的十九大报告中剔除的建设高素质专业化干部队伍和公务员队伍的要求</w:t>
      </w:r>
      <w:r>
        <w:rPr>
          <w:rFonts w:hint="eastAsia" w:ascii="仿宋_GB2312" w:hAnsi="Tahoma" w:eastAsia="仿宋_GB2312" w:cs="Tahoma"/>
          <w:kern w:val="0"/>
          <w:sz w:val="32"/>
          <w:szCs w:val="32"/>
          <w:lang w:eastAsia="zh-CN"/>
        </w:rPr>
        <w:t>；</w:t>
      </w:r>
      <w:r>
        <w:rPr>
          <w:rFonts w:hint="eastAsia" w:ascii="仿宋" w:hAnsi="仿宋" w:eastAsia="仿宋" w:cs="仿宋_GB2312"/>
          <w:sz w:val="32"/>
          <w:szCs w:val="32"/>
          <w:lang w:eastAsia="zh-CN"/>
        </w:rPr>
        <w:t>让每位老干部感受到政治上的关心，生活上的爱护；老干部日常生活幸福活动丰富充实。建立健全与经济社会发展相适应的老年教育体系，充分发挥传帮带作用，传承优良作风，让下一代健康成长健全完善老年体育示范区建设和老年体育人口增加。</w:t>
      </w:r>
    </w:p>
    <w:p>
      <w:pPr>
        <w:keepNext w:val="0"/>
        <w:keepLines w:val="0"/>
        <w:pageBreakBefore w:val="0"/>
        <w:widowControl/>
        <w:numPr>
          <w:ilvl w:val="0"/>
          <w:numId w:val="1"/>
        </w:numPr>
        <w:tabs>
          <w:tab w:val="left" w:pos="620"/>
        </w:tabs>
        <w:kinsoku/>
        <w:wordWrap/>
        <w:overflowPunct/>
        <w:topLinePunct w:val="0"/>
        <w:bidi w:val="0"/>
        <w:snapToGrid/>
        <w:spacing w:line="560" w:lineRule="exact"/>
        <w:ind w:firstLine="643" w:firstLineChars="200"/>
        <w:textAlignment w:val="auto"/>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rPr>
        <w:t>部门（单位）预算绩效管理开展情况。</w:t>
      </w:r>
    </w:p>
    <w:p>
      <w:pPr>
        <w:autoSpaceDE w:val="0"/>
        <w:autoSpaceDN w:val="0"/>
        <w:adjustRightInd w:val="0"/>
        <w:spacing w:line="500" w:lineRule="exact"/>
        <w:ind w:firstLine="640" w:firstLineChars="200"/>
        <w:rPr>
          <w:rFonts w:ascii="仿宋" w:hAnsi="仿宋" w:eastAsia="仿宋" w:cs="仿宋_GB2312"/>
          <w:sz w:val="32"/>
          <w:szCs w:val="32"/>
          <w:lang w:eastAsia="zh-CN"/>
        </w:rPr>
      </w:pPr>
      <w:r>
        <w:rPr>
          <w:rFonts w:ascii="仿宋_GB2312" w:hAnsi="Tahoma" w:eastAsia="仿宋_GB2312" w:cs="Tahoma"/>
          <w:kern w:val="0"/>
          <w:sz w:val="32"/>
          <w:szCs w:val="32"/>
        </w:rPr>
        <w:t>为加强财政性发展专项资金项目绩效评价工作，</w:t>
      </w:r>
      <w:r>
        <w:rPr>
          <w:rFonts w:hint="eastAsia" w:ascii="仿宋_GB2312" w:hAnsi="Tahoma" w:eastAsia="仿宋_GB2312" w:cs="Tahoma"/>
          <w:kern w:val="0"/>
          <w:sz w:val="32"/>
          <w:szCs w:val="32"/>
        </w:rPr>
        <w:t>本部门</w:t>
      </w:r>
      <w:r>
        <w:rPr>
          <w:rFonts w:ascii="仿宋_GB2312" w:hAnsi="Tahoma" w:eastAsia="仿宋_GB2312" w:cs="Tahoma"/>
          <w:kern w:val="0"/>
          <w:sz w:val="32"/>
          <w:szCs w:val="32"/>
        </w:rPr>
        <w:t>成立财政资金绩效评价工作小组</w:t>
      </w:r>
      <w:r>
        <w:rPr>
          <w:rFonts w:hint="eastAsia" w:ascii="仿宋_GB2312" w:hAnsi="Tahoma" w:eastAsia="仿宋_GB2312" w:cs="Tahoma"/>
          <w:kern w:val="0"/>
          <w:sz w:val="32"/>
          <w:szCs w:val="32"/>
        </w:rPr>
        <w:t>，</w:t>
      </w:r>
      <w:r>
        <w:rPr>
          <w:rFonts w:hint="eastAsia" w:ascii="仿宋_GB2312" w:eastAsia="仿宋_GB2312"/>
          <w:sz w:val="32"/>
          <w:szCs w:val="32"/>
        </w:rPr>
        <w:t>由财务部门及单位相关负责同志为成员。工作小组办公室设在财务室，负责制定绩效评价工作实施方案，组织协调相关工作。</w:t>
      </w:r>
      <w:r>
        <w:rPr>
          <w:rFonts w:hint="eastAsia" w:ascii="仿宋" w:hAnsi="仿宋" w:eastAsia="仿宋" w:cs="仿宋_GB2312"/>
          <w:sz w:val="32"/>
          <w:szCs w:val="32"/>
          <w:lang w:eastAsia="zh-CN"/>
        </w:rPr>
        <w:t>根据县财政预算绩效管理要求，以“部门职责</w:t>
      </w:r>
      <w:r>
        <w:rPr>
          <w:rFonts w:ascii="仿宋" w:hAnsi="仿宋" w:eastAsia="仿宋" w:cs="仿宋_GB2312"/>
          <w:sz w:val="32"/>
          <w:szCs w:val="32"/>
          <w:lang w:eastAsia="zh-CN"/>
        </w:rPr>
        <w:t>—</w:t>
      </w:r>
      <w:r>
        <w:rPr>
          <w:rFonts w:hint="eastAsia" w:ascii="仿宋" w:hAnsi="仿宋" w:eastAsia="仿宋" w:cs="仿宋_GB2312"/>
          <w:sz w:val="32"/>
          <w:szCs w:val="32"/>
          <w:lang w:eastAsia="zh-CN"/>
        </w:rPr>
        <w:t>工作活动”为依据，确定部门预算项目和预算额度，清晰描述预算项目开支范围和内容，确定预算项目的绩效目标、绩效指标和评价标准，为预算绩效控制、绩效分析、绩效评价打下好的基础。</w:t>
      </w:r>
    </w:p>
    <w:p>
      <w:pPr>
        <w:keepNext w:val="0"/>
        <w:keepLines w:val="0"/>
        <w:pageBreakBefore w:val="0"/>
        <w:widowControl/>
        <w:numPr>
          <w:ilvl w:val="0"/>
          <w:numId w:val="0"/>
        </w:numPr>
        <w:tabs>
          <w:tab w:val="left" w:pos="620"/>
        </w:tabs>
        <w:kinsoku/>
        <w:wordWrap/>
        <w:overflowPunct/>
        <w:topLinePunct w:val="0"/>
        <w:bidi w:val="0"/>
        <w:snapToGrid/>
        <w:spacing w:line="560" w:lineRule="exact"/>
        <w:ind w:firstLine="643" w:firstLineChars="200"/>
        <w:textAlignment w:val="auto"/>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rPr>
        <w:t>（五）当年部门（单位）预算及执行情况。</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lang w:val="en-US" w:eastAsia="zh-CN"/>
        </w:rPr>
        <w:t>中共香河县委组织部2019</w:t>
      </w:r>
      <w:r>
        <w:rPr>
          <w:rFonts w:hint="eastAsia" w:ascii="仿宋_GB2312" w:hAnsi="仿宋" w:eastAsia="仿宋_GB2312" w:cs="黑体"/>
          <w:bCs/>
          <w:sz w:val="32"/>
          <w:szCs w:val="32"/>
          <w:lang w:eastAsia="zh-CN"/>
        </w:rPr>
        <w:t>年度预算收入</w:t>
      </w:r>
      <w:r>
        <w:rPr>
          <w:rFonts w:hint="eastAsia" w:ascii="仿宋_GB2312" w:hAnsi="仿宋" w:eastAsia="仿宋_GB2312" w:cs="黑体"/>
          <w:bCs/>
          <w:sz w:val="32"/>
          <w:szCs w:val="32"/>
          <w:lang w:val="en-US" w:eastAsia="zh-CN"/>
        </w:rPr>
        <w:t>3546.3</w:t>
      </w:r>
      <w:r>
        <w:rPr>
          <w:rFonts w:hint="eastAsia" w:ascii="仿宋_GB2312" w:hAnsi="仿宋" w:eastAsia="仿宋_GB2312" w:cs="黑体"/>
          <w:bCs/>
          <w:sz w:val="32"/>
          <w:szCs w:val="32"/>
          <w:lang w:eastAsia="zh-CN"/>
        </w:rPr>
        <w:t>万元，预算支出</w:t>
      </w:r>
      <w:r>
        <w:rPr>
          <w:rFonts w:hint="eastAsia" w:ascii="仿宋_GB2312" w:hAnsi="仿宋" w:eastAsia="仿宋_GB2312" w:cs="黑体"/>
          <w:bCs/>
          <w:sz w:val="32"/>
          <w:szCs w:val="32"/>
          <w:lang w:val="en-US" w:eastAsia="zh-CN"/>
        </w:rPr>
        <w:t>3546.3</w:t>
      </w:r>
      <w:r>
        <w:rPr>
          <w:rFonts w:hint="eastAsia" w:ascii="仿宋_GB2312" w:hAnsi="仿宋" w:eastAsia="仿宋_GB2312" w:cs="黑体"/>
          <w:bCs/>
          <w:sz w:val="32"/>
          <w:szCs w:val="32"/>
          <w:lang w:eastAsia="zh-CN"/>
        </w:rPr>
        <w:t>万元。实际收入</w:t>
      </w:r>
      <w:r>
        <w:rPr>
          <w:rFonts w:hint="eastAsia" w:ascii="仿宋_GB2312" w:hAnsi="仿宋" w:eastAsia="仿宋_GB2312" w:cs="黑体"/>
          <w:bCs/>
          <w:sz w:val="32"/>
          <w:szCs w:val="32"/>
          <w:lang w:val="en-US" w:eastAsia="zh-CN"/>
        </w:rPr>
        <w:t>3637.82</w:t>
      </w:r>
      <w:r>
        <w:rPr>
          <w:rFonts w:hint="eastAsia" w:ascii="仿宋_GB2312" w:hAnsi="仿宋" w:eastAsia="仿宋_GB2312" w:cs="黑体"/>
          <w:bCs/>
          <w:sz w:val="32"/>
          <w:szCs w:val="32"/>
          <w:lang w:eastAsia="zh-CN"/>
        </w:rPr>
        <w:t>万元，实际支出</w:t>
      </w:r>
      <w:r>
        <w:rPr>
          <w:rFonts w:hint="eastAsia" w:ascii="仿宋_GB2312" w:hAnsi="仿宋" w:eastAsia="仿宋_GB2312" w:cs="黑体"/>
          <w:bCs/>
          <w:sz w:val="32"/>
          <w:szCs w:val="32"/>
          <w:lang w:val="en-US" w:eastAsia="zh-CN"/>
        </w:rPr>
        <w:t>3594.65</w:t>
      </w:r>
      <w:r>
        <w:rPr>
          <w:rFonts w:hint="eastAsia" w:ascii="仿宋_GB2312" w:hAnsi="仿宋" w:eastAsia="仿宋_GB2312" w:cs="黑体"/>
          <w:bCs/>
          <w:sz w:val="32"/>
          <w:szCs w:val="32"/>
          <w:lang w:eastAsia="zh-CN"/>
        </w:rPr>
        <w:t>万元。支出含上年结转</w:t>
      </w:r>
      <w:r>
        <w:rPr>
          <w:rFonts w:hint="eastAsia" w:ascii="仿宋_GB2312" w:hAnsi="仿宋" w:eastAsia="仿宋_GB2312" w:cs="黑体"/>
          <w:bCs/>
          <w:sz w:val="32"/>
          <w:szCs w:val="32"/>
          <w:lang w:val="en-US" w:eastAsia="zh-CN"/>
        </w:rPr>
        <w:t>58.69</w:t>
      </w:r>
      <w:r>
        <w:rPr>
          <w:rFonts w:hint="eastAsia" w:ascii="仿宋_GB2312" w:hAnsi="仿宋" w:eastAsia="仿宋_GB2312" w:cs="黑体"/>
          <w:bCs/>
          <w:sz w:val="32"/>
          <w:szCs w:val="32"/>
          <w:lang w:eastAsia="zh-CN"/>
        </w:rPr>
        <w:t>万元。实际执行与预算收入支出之间的出入主要在于</w:t>
      </w:r>
      <w:r>
        <w:rPr>
          <w:rFonts w:hint="eastAsia" w:ascii="仿宋_GB2312" w:hAnsi="仿宋" w:eastAsia="仿宋_GB2312" w:cs="黑体"/>
          <w:bCs/>
          <w:sz w:val="32"/>
          <w:szCs w:val="32"/>
          <w:lang w:val="en-US" w:eastAsia="zh-CN"/>
        </w:rPr>
        <w:t>1、村干部离任养老金未按照新标准执行，导致部分经费未支出；2、</w:t>
      </w:r>
      <w:r>
        <w:rPr>
          <w:rFonts w:hint="eastAsia" w:ascii="仿宋_GB2312" w:hAnsi="仿宋" w:eastAsia="仿宋_GB2312" w:cs="黑体"/>
          <w:bCs/>
          <w:sz w:val="32"/>
          <w:szCs w:val="32"/>
          <w:lang w:eastAsia="zh-CN"/>
        </w:rPr>
        <w:t>离休人员医疗费的不确定性以及离退休人员人数变化造成的离退休统筹外工资与预算出现差额。</w:t>
      </w:r>
      <w:r>
        <w:rPr>
          <w:rFonts w:hint="eastAsia" w:ascii="仿宋_GB2312" w:hAnsi="仿宋" w:eastAsia="仿宋_GB2312" w:cs="黑体"/>
          <w:bCs/>
          <w:sz w:val="32"/>
          <w:szCs w:val="32"/>
        </w:rPr>
        <w:t>2019年度财政预算安排项目</w:t>
      </w:r>
      <w:r>
        <w:rPr>
          <w:rFonts w:hint="eastAsia" w:ascii="仿宋_GB2312" w:hAnsi="仿宋" w:eastAsia="仿宋_GB2312" w:cs="黑体"/>
          <w:bCs/>
          <w:sz w:val="32"/>
          <w:szCs w:val="32"/>
          <w:lang w:eastAsia="zh-CN"/>
        </w:rPr>
        <w:t>（</w:t>
      </w:r>
      <w:r>
        <w:rPr>
          <w:rFonts w:hint="eastAsia" w:ascii="仿宋_GB2312" w:hAnsi="仿宋" w:eastAsia="仿宋_GB2312" w:cs="黑体"/>
          <w:bCs/>
          <w:sz w:val="32"/>
          <w:szCs w:val="32"/>
          <w:lang w:val="en-US" w:eastAsia="zh-CN"/>
        </w:rPr>
        <w:t>除老干部服务中心</w:t>
      </w:r>
      <w:r>
        <w:rPr>
          <w:rFonts w:hint="eastAsia" w:ascii="仿宋_GB2312" w:hAnsi="仿宋" w:eastAsia="仿宋_GB2312" w:cs="黑体"/>
          <w:bCs/>
          <w:sz w:val="32"/>
          <w:szCs w:val="32"/>
          <w:lang w:eastAsia="zh-CN"/>
        </w:rPr>
        <w:t>）</w:t>
      </w:r>
      <w:r>
        <w:rPr>
          <w:rFonts w:hint="eastAsia" w:ascii="仿宋_GB2312" w:hAnsi="仿宋" w:eastAsia="仿宋_GB2312" w:cs="黑体"/>
          <w:bCs/>
          <w:sz w:val="32"/>
          <w:szCs w:val="32"/>
        </w:rPr>
        <w:t>为：</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1、农村、社区干部“素质工程”经费(包括对农村、社区干部扫黑除恶专项培训)；</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2、建国前入党老党员生活补助；</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3、“两学一做”学习教育专项经费-“不忘初心、牢记使命”主题教育专项经费；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4、农村党员现代远程教育网络经费；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5、基层组织活动场所维护经费；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6、农村党员现代远程教育县级平台运行经费；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7、七一表彰经费；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8、村干部离任养老金；</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9、后进村整顿治理奖补资金；</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10、推进农村党建阵地“提升工程”经费；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11、非公企业和社会组织党组织工作经费；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12、基层组织活动经费；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13、党代表常任制工作经费；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14、(专款)冀财行[2018]77号河北省财政厅关于提前下达2019年老党员生活补贴省级补助经费的通知；</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15、冀财行[2018]58号河北省财政厅关于提前下达2019年老党员生活补贴中央补助经费预算的通知；</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16、党建工作领导小组办公经费；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17、领导班子考核表彰奖励经费；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18、公务员培训经费；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19、县考核办工作经费；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20、干部人事档案数字化维护经费；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21、干部教育培训经费；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22、县管优秀专家和县域特色人才管理专项经费；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rPr>
      </w:pPr>
      <w:r>
        <w:rPr>
          <w:rFonts w:hint="eastAsia" w:ascii="仿宋_GB2312" w:hAnsi="仿宋" w:eastAsia="仿宋_GB2312" w:cs="黑体"/>
          <w:bCs/>
          <w:sz w:val="32"/>
          <w:szCs w:val="32"/>
        </w:rPr>
        <w:t>23、全县重点工作大督查协调小组办公经费；</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黑体"/>
          <w:bCs/>
          <w:sz w:val="32"/>
          <w:szCs w:val="32"/>
          <w:lang w:eastAsia="zh-CN"/>
        </w:rPr>
      </w:pPr>
      <w:r>
        <w:rPr>
          <w:rFonts w:hint="eastAsia" w:ascii="仿宋_GB2312" w:hAnsi="仿宋" w:eastAsia="仿宋_GB2312" w:cs="黑体"/>
          <w:bCs/>
          <w:sz w:val="32"/>
          <w:szCs w:val="32"/>
        </w:rPr>
        <w:t>24、大组工网分级保护系统维护工作经费。</w:t>
      </w:r>
    </w:p>
    <w:p>
      <w:pPr>
        <w:keepNext w:val="0"/>
        <w:keepLines w:val="0"/>
        <w:pageBreakBefore w:val="0"/>
        <w:widowControl/>
        <w:numPr>
          <w:ilvl w:val="0"/>
          <w:numId w:val="0"/>
        </w:numPr>
        <w:kinsoku/>
        <w:wordWrap/>
        <w:overflowPunct/>
        <w:topLinePunct w:val="0"/>
        <w:bidi w:val="0"/>
        <w:snapToGrid/>
        <w:spacing w:line="560" w:lineRule="exact"/>
        <w:textAlignment w:val="auto"/>
        <w:rPr>
          <w:rFonts w:hint="eastAsia" w:ascii="仿宋_GB2312" w:hAnsi="Tahoma" w:eastAsia="仿宋_GB2312" w:cs="Tahoma"/>
          <w:b/>
          <w:bCs/>
          <w:kern w:val="0"/>
          <w:sz w:val="32"/>
          <w:szCs w:val="32"/>
        </w:rPr>
      </w:pPr>
      <w:r>
        <w:rPr>
          <w:rFonts w:hint="eastAsia" w:ascii="仿宋_GB2312" w:hAnsi="Tahoma" w:eastAsia="仿宋_GB2312" w:cs="Tahoma"/>
          <w:b/>
          <w:bCs/>
          <w:kern w:val="0"/>
          <w:sz w:val="32"/>
          <w:szCs w:val="32"/>
          <w:lang w:val="en-US" w:eastAsia="zh-CN"/>
        </w:rPr>
        <w:t xml:space="preserve">    二、</w:t>
      </w:r>
      <w:r>
        <w:rPr>
          <w:rFonts w:hint="eastAsia" w:ascii="仿宋_GB2312" w:hAnsi="Tahoma" w:eastAsia="仿宋_GB2312" w:cs="Tahoma"/>
          <w:b/>
          <w:bCs/>
          <w:kern w:val="0"/>
          <w:sz w:val="32"/>
          <w:szCs w:val="32"/>
        </w:rPr>
        <w:t>部门（单位）整体绩效实现情况</w:t>
      </w:r>
    </w:p>
    <w:p>
      <w:pPr>
        <w:keepNext w:val="0"/>
        <w:keepLines w:val="0"/>
        <w:pageBreakBefore w:val="0"/>
        <w:widowControl/>
        <w:numPr>
          <w:ilvl w:val="0"/>
          <w:numId w:val="0"/>
        </w:numPr>
        <w:kinsoku/>
        <w:wordWrap/>
        <w:overflowPunct/>
        <w:topLinePunct w:val="0"/>
        <w:bidi w:val="0"/>
        <w:snapToGrid/>
        <w:spacing w:line="560" w:lineRule="exact"/>
        <w:textAlignment w:val="auto"/>
        <w:rPr>
          <w:rFonts w:ascii="仿宋_GB2312" w:hAnsi="Tahoma" w:eastAsia="仿宋_GB2312" w:cs="Tahoma"/>
          <w:kern w:val="0"/>
          <w:sz w:val="32"/>
          <w:szCs w:val="32"/>
        </w:rPr>
      </w:pPr>
      <w:r>
        <w:rPr>
          <w:rFonts w:hint="eastAsia" w:ascii="仿宋_GB2312" w:hAnsi="Tahoma" w:eastAsia="仿宋_GB2312" w:cs="Tahoma"/>
          <w:kern w:val="0"/>
          <w:sz w:val="32"/>
          <w:szCs w:val="32"/>
        </w:rPr>
        <w:t xml:space="preserve">    县委组织部在日常财务管理中较好地遵守国家和我省有关财经政策规定，并严格执行。资金使用比较合理，资金使用符合部门预算批复的用途，无截留、挤占、挪用、序列支出等情况；预决算信息及时公开；基础数据信息和会计信息资料真实、完整、准确，及时报送相关信息和报表；在日常工作中未发现管理问题。</w:t>
      </w:r>
    </w:p>
    <w:p>
      <w:pPr>
        <w:keepNext w:val="0"/>
        <w:keepLines w:val="0"/>
        <w:pageBreakBefore w:val="0"/>
        <w:widowControl/>
        <w:kinsoku/>
        <w:wordWrap/>
        <w:overflowPunct/>
        <w:topLinePunct w:val="0"/>
        <w:bidi w:val="0"/>
        <w:snapToGrid/>
        <w:spacing w:line="560" w:lineRule="exact"/>
        <w:ind w:firstLine="640" w:firstLineChars="200"/>
        <w:textAlignment w:val="auto"/>
        <w:rPr>
          <w:rFonts w:ascii="仿宋_GB2312" w:hAnsi="Tahoma" w:eastAsia="仿宋_GB2312" w:cs="Tahoma"/>
          <w:kern w:val="0"/>
          <w:sz w:val="32"/>
          <w:szCs w:val="32"/>
        </w:rPr>
      </w:pPr>
      <w:r>
        <w:rPr>
          <w:rFonts w:hint="eastAsia" w:ascii="仿宋_GB2312" w:hAnsi="Tahoma" w:eastAsia="仿宋_GB2312" w:cs="Tahoma"/>
          <w:kern w:val="0"/>
          <w:sz w:val="32"/>
          <w:szCs w:val="32"/>
        </w:rPr>
        <w:t>历年来审计未发现违法违纪行为。</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Tahoma" w:eastAsia="仿宋_GB2312" w:cs="Tahoma"/>
          <w:kern w:val="0"/>
          <w:sz w:val="32"/>
          <w:szCs w:val="32"/>
          <w:lang w:eastAsia="zh-CN"/>
        </w:rPr>
      </w:pPr>
      <w:r>
        <w:rPr>
          <w:rFonts w:hint="eastAsia" w:ascii="仿宋_GB2312" w:hAnsi="Tahoma" w:eastAsia="仿宋_GB2312" w:cs="Tahoma"/>
          <w:kern w:val="0"/>
          <w:sz w:val="32"/>
          <w:szCs w:val="32"/>
        </w:rPr>
        <w:t>香河县县委组织部201</w:t>
      </w:r>
      <w:r>
        <w:rPr>
          <w:rFonts w:hint="eastAsia" w:ascii="仿宋_GB2312" w:hAnsi="Tahoma" w:eastAsia="仿宋_GB2312" w:cs="Tahoma"/>
          <w:kern w:val="0"/>
          <w:sz w:val="32"/>
          <w:szCs w:val="32"/>
          <w:lang w:val="en-US" w:eastAsia="zh-CN"/>
        </w:rPr>
        <w:t>9</w:t>
      </w:r>
      <w:r>
        <w:rPr>
          <w:rFonts w:hint="eastAsia" w:ascii="仿宋_GB2312" w:hAnsi="Tahoma" w:eastAsia="仿宋_GB2312" w:cs="Tahoma"/>
          <w:kern w:val="0"/>
          <w:sz w:val="32"/>
          <w:szCs w:val="32"/>
        </w:rPr>
        <w:t>年</w:t>
      </w:r>
      <w:r>
        <w:rPr>
          <w:rFonts w:hint="eastAsia" w:ascii="仿宋_GB2312" w:hAnsi="Tahoma" w:eastAsia="仿宋_GB2312" w:cs="Tahoma"/>
          <w:kern w:val="0"/>
          <w:sz w:val="32"/>
          <w:szCs w:val="32"/>
          <w:lang w:eastAsia="zh-CN"/>
        </w:rPr>
        <w:t>共</w:t>
      </w:r>
      <w:r>
        <w:rPr>
          <w:rFonts w:hint="eastAsia" w:ascii="仿宋_GB2312" w:hAnsi="Tahoma" w:eastAsia="仿宋_GB2312" w:cs="Tahoma"/>
          <w:kern w:val="0"/>
          <w:sz w:val="32"/>
          <w:szCs w:val="32"/>
          <w:lang w:val="en-US" w:eastAsia="zh-CN"/>
        </w:rPr>
        <w:t>24</w:t>
      </w:r>
      <w:r>
        <w:rPr>
          <w:rFonts w:hint="eastAsia" w:ascii="仿宋_GB2312" w:hAnsi="Tahoma" w:eastAsia="仿宋_GB2312" w:cs="Tahoma"/>
          <w:kern w:val="0"/>
          <w:sz w:val="32"/>
          <w:szCs w:val="32"/>
        </w:rPr>
        <w:t>项绩效指标。</w:t>
      </w:r>
      <w:r>
        <w:rPr>
          <w:rFonts w:hint="eastAsia" w:ascii="仿宋_GB2312" w:hAnsi="Tahoma" w:eastAsia="仿宋_GB2312" w:cs="Tahoma"/>
          <w:kern w:val="0"/>
          <w:sz w:val="32"/>
          <w:szCs w:val="32"/>
          <w:lang w:eastAsia="zh-CN"/>
        </w:rPr>
        <w:t>绩效目标完成情况如下：</w:t>
      </w:r>
    </w:p>
    <w:p>
      <w:pPr>
        <w:keepNext w:val="0"/>
        <w:keepLines w:val="0"/>
        <w:pageBreakBefore w:val="0"/>
        <w:widowControl/>
        <w:kinsoku/>
        <w:wordWrap/>
        <w:overflowPunct/>
        <w:topLinePunct w:val="0"/>
        <w:bidi w:val="0"/>
        <w:snapToGrid/>
        <w:spacing w:line="560" w:lineRule="exact"/>
        <w:jc w:val="left"/>
        <w:textAlignment w:val="auto"/>
        <w:rPr>
          <w:rFonts w:hint="eastAsia" w:ascii="仿宋" w:hAnsi="仿宋" w:eastAsia="仿宋" w:cs="仿宋"/>
          <w:sz w:val="32"/>
          <w:szCs w:val="32"/>
          <w:lang w:eastAsia="zh-CN"/>
        </w:rPr>
      </w:pPr>
      <w:r>
        <w:rPr>
          <w:rFonts w:hint="eastAsia" w:ascii="宋体" w:hAnsi="宋体" w:cs="Tahoma"/>
          <w:b/>
          <w:kern w:val="0"/>
          <w:sz w:val="44"/>
          <w:szCs w:val="44"/>
          <w:lang w:val="en-US" w:eastAsia="zh-CN"/>
        </w:rPr>
        <w:t xml:space="preserve">   </w:t>
      </w:r>
      <w:r>
        <w:rPr>
          <w:rFonts w:hint="eastAsia" w:ascii="仿宋" w:hAnsi="仿宋" w:eastAsia="仿宋" w:cs="仿宋"/>
          <w:sz w:val="32"/>
          <w:szCs w:val="32"/>
        </w:rPr>
        <w:t>1、农村、社区干部</w:t>
      </w:r>
      <w:r>
        <w:rPr>
          <w:rFonts w:hint="cs" w:ascii="仿宋" w:hAnsi="仿宋" w:eastAsia="仿宋" w:cs="仿宋"/>
          <w:sz w:val="32"/>
          <w:szCs w:val="32"/>
        </w:rPr>
        <w:t>“</w:t>
      </w:r>
      <w:r>
        <w:rPr>
          <w:rFonts w:hint="eastAsia" w:ascii="仿宋" w:hAnsi="仿宋" w:eastAsia="仿宋" w:cs="仿宋"/>
          <w:sz w:val="32"/>
          <w:szCs w:val="32"/>
        </w:rPr>
        <w:t>素质工程</w:t>
      </w:r>
      <w:r>
        <w:rPr>
          <w:rFonts w:hint="cs" w:ascii="仿宋" w:hAnsi="仿宋" w:eastAsia="仿宋" w:cs="仿宋"/>
          <w:sz w:val="32"/>
          <w:szCs w:val="32"/>
        </w:rPr>
        <w:t>”</w:t>
      </w:r>
      <w:r>
        <w:rPr>
          <w:rFonts w:hint="eastAsia" w:ascii="仿宋" w:hAnsi="仿宋" w:eastAsia="仿宋" w:cs="仿宋"/>
          <w:sz w:val="32"/>
          <w:szCs w:val="32"/>
        </w:rPr>
        <w:t>经费</w:t>
      </w:r>
      <w:r>
        <w:rPr>
          <w:rFonts w:ascii="仿宋" w:hAnsi="仿宋" w:eastAsia="仿宋" w:cs="仿宋"/>
          <w:sz w:val="32"/>
          <w:szCs w:val="32"/>
        </w:rPr>
        <w:t>(</w:t>
      </w:r>
      <w:r>
        <w:rPr>
          <w:rFonts w:hint="eastAsia" w:ascii="仿宋" w:hAnsi="仿宋" w:eastAsia="仿宋" w:cs="仿宋"/>
          <w:sz w:val="32"/>
          <w:szCs w:val="32"/>
        </w:rPr>
        <w:t>包括对农村、社区干部扫黑除恶专项培训</w:t>
      </w:r>
      <w:r>
        <w:rPr>
          <w:rFonts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年初设定目标为：通过项目的开展实现乡村振兴战略，保障基层党建水平得到提升。年度总体目标完成情况：</w:t>
      </w:r>
      <w:r>
        <w:rPr>
          <w:rFonts w:hint="eastAsia" w:ascii="仿宋" w:hAnsi="仿宋" w:eastAsia="仿宋" w:cs="仿宋"/>
          <w:sz w:val="32"/>
          <w:szCs w:val="32"/>
        </w:rPr>
        <w:t>按计划开展了培训，达到了预期效果</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2、建国前入党老党员生活补助</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提升老党员生活幸福感，让老党员感受到党组织的温暖，增强基层党组织凝聚力。年度总体目标完成情况：按照要求及时足额发放此项补助资金，用于改善我县建国前入党老党员生活状况，解决生活中遇到的难题。</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cs" w:ascii="仿宋" w:hAnsi="仿宋" w:eastAsia="仿宋" w:cs="仿宋"/>
          <w:sz w:val="32"/>
          <w:szCs w:val="32"/>
        </w:rPr>
        <w:t>“</w:t>
      </w:r>
      <w:r>
        <w:rPr>
          <w:rFonts w:hint="eastAsia" w:ascii="仿宋" w:hAnsi="仿宋" w:eastAsia="仿宋" w:cs="仿宋"/>
          <w:sz w:val="32"/>
          <w:szCs w:val="32"/>
        </w:rPr>
        <w:t>两学一做</w:t>
      </w:r>
      <w:r>
        <w:rPr>
          <w:rFonts w:hint="cs" w:ascii="仿宋" w:hAnsi="仿宋" w:eastAsia="仿宋" w:cs="仿宋"/>
          <w:sz w:val="32"/>
          <w:szCs w:val="32"/>
        </w:rPr>
        <w:t>”</w:t>
      </w:r>
      <w:r>
        <w:rPr>
          <w:rFonts w:hint="eastAsia" w:ascii="仿宋" w:hAnsi="仿宋" w:eastAsia="仿宋" w:cs="仿宋"/>
          <w:sz w:val="32"/>
          <w:szCs w:val="32"/>
        </w:rPr>
        <w:t>学习教育专项经费</w:t>
      </w:r>
      <w:r>
        <w:rPr>
          <w:rFonts w:ascii="仿宋" w:hAnsi="仿宋" w:eastAsia="仿宋" w:cs="仿宋"/>
          <w:sz w:val="32"/>
          <w:szCs w:val="32"/>
        </w:rPr>
        <w:t>-“</w:t>
      </w:r>
      <w:r>
        <w:rPr>
          <w:rFonts w:hint="eastAsia" w:ascii="仿宋" w:hAnsi="仿宋" w:eastAsia="仿宋" w:cs="仿宋"/>
          <w:sz w:val="32"/>
          <w:szCs w:val="32"/>
        </w:rPr>
        <w:t>不忘初心、牢记使命</w:t>
      </w:r>
      <w:r>
        <w:rPr>
          <w:rFonts w:hint="cs" w:ascii="仿宋" w:hAnsi="仿宋" w:eastAsia="仿宋" w:cs="仿宋"/>
          <w:sz w:val="32"/>
          <w:szCs w:val="32"/>
        </w:rPr>
        <w:t>”</w:t>
      </w:r>
      <w:r>
        <w:rPr>
          <w:rFonts w:hint="eastAsia" w:ascii="仿宋" w:hAnsi="仿宋" w:eastAsia="仿宋" w:cs="仿宋"/>
          <w:sz w:val="32"/>
          <w:szCs w:val="32"/>
        </w:rPr>
        <w:t>主题教育专项经费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推动“两学一做”常态化制度化相关工作开展</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实现党建质量提升，基层党建水平得到了提升。</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4、农村党员现代远程教育网络经费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通过农村党员干部现代远程教育终端站点的运行、维护，方便广大党员干部集中学习，提升基层党组织凝聚力、战斗力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全县408个远程教育终端站点正常运行，广大党员群众能够按时、按量、按质使用远程教育终端学习。</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5、基层组织活动场所维护经费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通过项目的开展，保障党建阵地建设水平得到提升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通过下拨项目资金，帮助了村街更好的建设党建阵地，持续巩固提升党建阵地建设水平。</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6、农村党员现代远程教育县级平台运行经费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拍摄一批看得见、信得过、能学习的典型教材，推进基层党组织建设、提高党员群众素质</w:t>
      </w:r>
      <w:r>
        <w:rPr>
          <w:rFonts w:hint="eastAsia" w:ascii="仿宋" w:hAnsi="仿宋" w:eastAsia="仿宋" w:cs="仿宋"/>
          <w:sz w:val="32"/>
          <w:szCs w:val="32"/>
          <w:lang w:val="en-US" w:eastAsia="zh-CN"/>
        </w:rPr>
        <w:t>。年度总体目标完成情况：按照年初工作安排，</w:t>
      </w:r>
      <w:r>
        <w:rPr>
          <w:rFonts w:hint="eastAsia" w:ascii="仿宋" w:hAnsi="仿宋" w:eastAsia="仿宋" w:cs="仿宋"/>
          <w:sz w:val="32"/>
          <w:szCs w:val="32"/>
        </w:rPr>
        <w:t>完成了全年拍摄任务。</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七一</w:t>
      </w:r>
      <w:r>
        <w:rPr>
          <w:rFonts w:hint="eastAsia" w:ascii="仿宋" w:hAnsi="仿宋" w:eastAsia="仿宋" w:cs="仿宋"/>
          <w:sz w:val="32"/>
          <w:szCs w:val="32"/>
          <w:lang w:eastAsia="zh-CN"/>
        </w:rPr>
        <w:t>”</w:t>
      </w:r>
      <w:r>
        <w:rPr>
          <w:rFonts w:hint="eastAsia" w:ascii="仿宋" w:hAnsi="仿宋" w:eastAsia="仿宋" w:cs="仿宋"/>
          <w:sz w:val="32"/>
          <w:szCs w:val="32"/>
        </w:rPr>
        <w:t>表彰经费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挖掘和宣传基层党组织和一线岗位中涌现出的先进集体和优秀个人，充分发挥典型辐射带动作用</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通过开展此次表彰，在全县营造了“比、学、赶、超”创先争优的浓厚氛围。</w:t>
      </w:r>
    </w:p>
    <w:p>
      <w:pPr>
        <w:keepNext w:val="0"/>
        <w:keepLines w:val="0"/>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村干部离任养老金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通过项目的开展实现乡村振兴战略，保障村级运转经费保障水平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通过发放村“两委”主要干部正常离任生活补贴，为村干部提供离任保障，有效激发了村干部干事热情。</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9、后进村整顿治理奖补资金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lang w:eastAsia="zh-CN"/>
        </w:rPr>
        <w:t>通过发放后进整顿治理奖补资金，差别落实奖补资金，有效提升村党组织整顿成效</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lang w:eastAsia="zh-CN"/>
        </w:rPr>
        <w:t>通过年底对各后进村进行评估验收，按照整顿情况差别落实奖补资金，有效激发</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后进村整顿效果，提升</w:t>
      </w:r>
      <w:r>
        <w:rPr>
          <w:rFonts w:hint="eastAsia" w:ascii="仿宋" w:hAnsi="仿宋" w:eastAsia="仿宋" w:cs="仿宋"/>
          <w:sz w:val="32"/>
          <w:szCs w:val="32"/>
          <w:lang w:val="en-US" w:eastAsia="zh-CN"/>
        </w:rPr>
        <w:t>了</w:t>
      </w:r>
      <w:r>
        <w:rPr>
          <w:rFonts w:hint="eastAsia" w:ascii="仿宋" w:hAnsi="仿宋" w:eastAsia="仿宋" w:cs="仿宋"/>
          <w:sz w:val="32"/>
          <w:szCs w:val="32"/>
          <w:lang w:eastAsia="zh-CN"/>
        </w:rPr>
        <w:t>基层党建工作水平。</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10、</w:t>
      </w:r>
      <w:r>
        <w:rPr>
          <w:rFonts w:hint="eastAsia" w:ascii="仿宋" w:hAnsi="仿宋" w:eastAsia="仿宋" w:cs="仿宋"/>
          <w:sz w:val="32"/>
          <w:szCs w:val="32"/>
          <w:lang w:eastAsia="zh-CN"/>
        </w:rPr>
        <w:t>推进农村党建阵地“提升工程”经费，</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lang w:eastAsia="zh-CN"/>
        </w:rPr>
        <w:t>通过开展党建阵地提升工作，党建阵地建设水平得到提升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lang w:eastAsia="zh-CN"/>
        </w:rPr>
        <w:t>通过落实农村党建阵地“提升工程”经费，帮助了村街更好的建设党建阵地，巩固提升了党建阵地建设水平。</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11、非公企业和社会组织党组织工作经费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通过打造非公党建示范点，党组织书记、党建工作指导员进行培训，基层党建工作水平得到提高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12、基层组织活动经费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通过落实基层组织活动经费（村星级津贴），对基层活动经费进行有效补充，提升基层党组织有钱办事能力，提高党建工作水平。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村党组织干事创业热情得到激发，基层党组织党建工作水平得到提升</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13、党代表常任制工作经费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w:t>
      </w:r>
      <w:r>
        <w:rPr>
          <w:rFonts w:hint="eastAsia" w:ascii="仿宋" w:hAnsi="仿宋" w:eastAsia="仿宋" w:cs="仿宋"/>
          <w:sz w:val="32"/>
          <w:szCs w:val="32"/>
          <w:lang w:val="en-US" w:eastAsia="zh-CN"/>
        </w:rPr>
        <w:t>为</w:t>
      </w:r>
      <w:r>
        <w:rPr>
          <w:rFonts w:hint="eastAsia" w:ascii="仿宋" w:hAnsi="仿宋" w:eastAsia="仿宋" w:cs="仿宋"/>
          <w:sz w:val="32"/>
          <w:szCs w:val="32"/>
        </w:rPr>
        <w:t>县镇两级党代表发放学习资料，党代表政策理论水平得到提高</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14、</w:t>
      </w:r>
      <w:r>
        <w:rPr>
          <w:rFonts w:ascii="仿宋" w:hAnsi="仿宋" w:eastAsia="仿宋" w:cs="仿宋"/>
          <w:sz w:val="32"/>
          <w:szCs w:val="32"/>
        </w:rPr>
        <w:t>(</w:t>
      </w:r>
      <w:r>
        <w:rPr>
          <w:rFonts w:hint="eastAsia" w:ascii="仿宋" w:hAnsi="仿宋" w:eastAsia="仿宋" w:cs="仿宋"/>
          <w:sz w:val="32"/>
          <w:szCs w:val="32"/>
        </w:rPr>
        <w:t>专款</w:t>
      </w:r>
      <w:r>
        <w:rPr>
          <w:rFonts w:ascii="仿宋" w:hAnsi="仿宋" w:eastAsia="仿宋" w:cs="仿宋"/>
          <w:sz w:val="32"/>
          <w:szCs w:val="32"/>
        </w:rPr>
        <w:t>)</w:t>
      </w:r>
      <w:r>
        <w:rPr>
          <w:rFonts w:hint="eastAsia" w:ascii="仿宋" w:hAnsi="仿宋" w:eastAsia="仿宋" w:cs="仿宋"/>
          <w:sz w:val="32"/>
          <w:szCs w:val="32"/>
        </w:rPr>
        <w:t>冀财行</w:t>
      </w:r>
      <w:r>
        <w:rPr>
          <w:rFonts w:ascii="仿宋" w:hAnsi="仿宋" w:eastAsia="仿宋" w:cs="仿宋"/>
          <w:sz w:val="32"/>
          <w:szCs w:val="32"/>
        </w:rPr>
        <w:t>[2018]77</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年老党员生活补贴省级补助经费的通知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提升老党员生活幸福感，让老党员感受到党组织的温暖，增强基层党组织凝聚力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按照要求及时足额发放此项补助资金，用于改善我县建国前入党老党员生活状况，解决生活中遇到的难题。</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15、冀财行</w:t>
      </w:r>
      <w:r>
        <w:rPr>
          <w:rFonts w:ascii="仿宋" w:hAnsi="仿宋" w:eastAsia="仿宋" w:cs="仿宋"/>
          <w:sz w:val="32"/>
          <w:szCs w:val="32"/>
        </w:rPr>
        <w:t>[2018]58</w:t>
      </w:r>
      <w:r>
        <w:rPr>
          <w:rFonts w:hint="eastAsia" w:ascii="仿宋" w:hAnsi="仿宋" w:eastAsia="仿宋" w:cs="仿宋"/>
          <w:sz w:val="32"/>
          <w:szCs w:val="32"/>
        </w:rPr>
        <w:t>号河北省财政厅关于提前下达</w:t>
      </w:r>
      <w:r>
        <w:rPr>
          <w:rFonts w:ascii="仿宋" w:hAnsi="仿宋" w:eastAsia="仿宋" w:cs="仿宋"/>
          <w:sz w:val="32"/>
          <w:szCs w:val="32"/>
        </w:rPr>
        <w:t>2019</w:t>
      </w:r>
      <w:r>
        <w:rPr>
          <w:rFonts w:hint="eastAsia" w:ascii="仿宋" w:hAnsi="仿宋" w:eastAsia="仿宋" w:cs="仿宋"/>
          <w:sz w:val="32"/>
          <w:szCs w:val="32"/>
        </w:rPr>
        <w:t>年老党员生活补贴中央补助经费预算的通知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提升老党员生活幸福感，让老党员感受到党组织的温暖，增强基层党组织凝聚力</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按照要求及时足额发放此项补助资金，用于改善我县建国前入党老党员生活状况，解决生活中遇到的难题。</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16、党建工作领导小组办公经费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w:t>
      </w:r>
      <w:r>
        <w:rPr>
          <w:rFonts w:hint="eastAsia" w:ascii="仿宋" w:hAnsi="仿宋" w:eastAsia="仿宋" w:cs="仿宋"/>
          <w:sz w:val="32"/>
          <w:szCs w:val="32"/>
          <w:lang w:eastAsia="zh-CN"/>
        </w:rPr>
        <w:t>，</w:t>
      </w:r>
      <w:r>
        <w:rPr>
          <w:rFonts w:hint="eastAsia" w:ascii="仿宋" w:hAnsi="仿宋" w:eastAsia="仿宋" w:cs="仿宋"/>
          <w:sz w:val="32"/>
          <w:szCs w:val="32"/>
        </w:rPr>
        <w:t>基层党建水平得到提升</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通过落实党建工作领导小组办公经费</w:t>
      </w:r>
      <w:r>
        <w:rPr>
          <w:rFonts w:hint="eastAsia" w:ascii="仿宋" w:hAnsi="仿宋" w:eastAsia="仿宋" w:cs="仿宋"/>
          <w:sz w:val="32"/>
          <w:szCs w:val="32"/>
          <w:lang w:eastAsia="zh-CN"/>
        </w:rPr>
        <w:t>，</w:t>
      </w:r>
      <w:r>
        <w:rPr>
          <w:rFonts w:hint="eastAsia" w:ascii="仿宋" w:hAnsi="仿宋" w:eastAsia="仿宋" w:cs="仿宋"/>
          <w:sz w:val="32"/>
          <w:szCs w:val="32"/>
        </w:rPr>
        <w:t>持续提升了全县党建工作水平</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17、领导班子考核表彰奖励经费，年初设定目标为：通过项目的开展，实现调动领导班子及领导干部工作积极性、主动性的目的。年度总体目标完成情况：通过项目的开展，乡科级领导班子及领导干部工作积极性、主动性有所提升。</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18、</w:t>
      </w:r>
      <w:r>
        <w:rPr>
          <w:rFonts w:hint="eastAsia" w:ascii="仿宋" w:hAnsi="仿宋" w:eastAsia="仿宋" w:cs="仿宋"/>
          <w:sz w:val="32"/>
          <w:szCs w:val="32"/>
          <w:lang w:val="en-US" w:eastAsia="zh-CN"/>
        </w:rPr>
        <w:t>公务员培训经费，年初设定目标为：建立规范的干部教育培训体系，科学设置培训内容，创新培训方式方法，完善培训管理机制，不断提升干部教育培训的统筹性、针对性和实效性，全面提高工作的科学化、制度化、规范化水平。年度总体目标完成情况：提高了全县公务员干部依法行政，综合管理能力。</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19、县</w:t>
      </w:r>
      <w:r>
        <w:rPr>
          <w:rFonts w:hint="eastAsia" w:ascii="仿宋" w:hAnsi="仿宋" w:eastAsia="仿宋" w:cs="仿宋"/>
          <w:sz w:val="32"/>
          <w:szCs w:val="32"/>
          <w:lang w:val="en-US" w:eastAsia="zh-CN"/>
        </w:rPr>
        <w:t>考核办工作经费，年初设定目标为：通过项目的开展实现调动领导班子及领导干部工作积极性、主动性的目的。年度总体目标完成情况：通过项目的开展，乡科级领导班子及领导干部工作积极性、主动性有所提升。</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20、干部人事档案数字化维护经费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通过项目的开展实现部管在职干部人事档案数字化全覆盖，保障档案数字化、信息化建设目标的实现</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档案利用查询更加便捷，服务效率得到了提升</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21、干部教育培训经费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建立规范的干部教育培训体系，科学设置培训内容，创新培训方式方法，完善培训管理机制，不断提升干部教育培训的统筹性、针对性和实效性，全面提高工作的科学化、制度化、规范化水平。</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提高了全县公务员干部依法行政，综合管理能力</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22、县管优秀专家和县域特色人才管理专项经费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落实县管优秀专家和县域特色人才优惠待遇，实现对县管优秀专家和县域特色人才的关怀，形成敬才爱才的人才服务氛围，激发县域人才的工作热情</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激发了县域人才的工作热情，减少了专家人才的流失率</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23、全县重点工作大督查协调小组办公经费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通过项目的开展促进干部工作作风转变和工作效能提升，努力推动廊坊高质量发展</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通过项目的开展促进了干部工作作风转变和工作效能提升，推动了廊坊高质量发展</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24、大组工网分级保护系统维护工作经费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年初设定目标为：</w:t>
      </w:r>
      <w:r>
        <w:rPr>
          <w:rFonts w:hint="eastAsia" w:ascii="仿宋" w:hAnsi="仿宋" w:eastAsia="仿宋" w:cs="仿宋"/>
          <w:sz w:val="32"/>
          <w:szCs w:val="32"/>
        </w:rPr>
        <w:t>通过对大组工网进行日常维护和管理，定期对设备进行维护、升级、维修，保障中央、省、市、县四级组织系统信息渠道的畅通</w:t>
      </w:r>
      <w:r>
        <w:rPr>
          <w:rFonts w:hint="eastAsia" w:ascii="仿宋" w:hAnsi="仿宋" w:eastAsia="仿宋" w:cs="仿宋"/>
          <w:sz w:val="32"/>
          <w:szCs w:val="32"/>
          <w:lang w:val="en-US" w:eastAsia="zh-CN"/>
        </w:rPr>
        <w:t>。年度总体目标完成情况：</w:t>
      </w:r>
      <w:r>
        <w:rPr>
          <w:rFonts w:hint="eastAsia" w:ascii="仿宋" w:hAnsi="仿宋" w:eastAsia="仿宋" w:cs="仿宋"/>
          <w:sz w:val="32"/>
          <w:szCs w:val="32"/>
        </w:rPr>
        <w:t>通过对大组工网做好日常维护管理，确保大组工网良好运行，能接入到中央、省、市、县四级组织系统，及时妥善的做好各类涉密文件的收发工作</w:t>
      </w:r>
      <w:r>
        <w:rPr>
          <w:rFonts w:hint="eastAsia" w:ascii="仿宋" w:hAnsi="仿宋" w:eastAsia="仿宋" w:cs="仿宋"/>
          <w:sz w:val="32"/>
          <w:szCs w:val="32"/>
          <w:lang w:eastAsia="zh-CN"/>
        </w:rPr>
        <w:t>。</w:t>
      </w:r>
    </w:p>
    <w:p>
      <w:pPr>
        <w:spacing w:line="560" w:lineRule="exact"/>
        <w:ind w:firstLine="640" w:firstLineChars="200"/>
        <w:rPr>
          <w:rFonts w:ascii="仿宋_GB2312" w:hAnsi="仿宋" w:eastAsia="仿宋_GB2312"/>
          <w:sz w:val="32"/>
          <w:szCs w:val="32"/>
          <w:lang w:eastAsia="zh-CN"/>
        </w:rPr>
      </w:pPr>
      <w:r>
        <w:rPr>
          <w:rFonts w:hint="eastAsia" w:ascii="仿宋" w:hAnsi="仿宋" w:eastAsia="仿宋" w:cs="仿宋"/>
          <w:sz w:val="32"/>
          <w:szCs w:val="32"/>
          <w:lang w:val="en-US" w:eastAsia="zh-CN"/>
        </w:rPr>
        <w:t>25、老干部服务中心：</w:t>
      </w:r>
      <w:r>
        <w:rPr>
          <w:rFonts w:hint="eastAsia" w:ascii="仿宋" w:hAnsi="仿宋" w:eastAsia="仿宋" w:cs="仿宋_GB2312"/>
          <w:sz w:val="32"/>
          <w:szCs w:val="32"/>
          <w:lang w:eastAsia="zh-CN"/>
        </w:rPr>
        <w:t>离休人员医疗费及时核销发放确保了离休人员顺利就医。各项慰问金及时足额发放，确保了老干部在各个节日到来之际感受到了党和政府的关心。老年大学全年授课</w:t>
      </w:r>
      <w:r>
        <w:rPr>
          <w:rFonts w:ascii="仿宋" w:hAnsi="仿宋" w:eastAsia="仿宋" w:cs="仿宋_GB2312"/>
          <w:sz w:val="32"/>
          <w:szCs w:val="32"/>
          <w:lang w:eastAsia="zh-CN"/>
        </w:rPr>
        <w:t>32</w:t>
      </w:r>
      <w:r>
        <w:rPr>
          <w:rFonts w:hint="eastAsia" w:ascii="仿宋" w:hAnsi="仿宋" w:eastAsia="仿宋" w:cs="仿宋_GB2312"/>
          <w:sz w:val="32"/>
          <w:szCs w:val="32"/>
          <w:lang w:eastAsia="zh-CN"/>
        </w:rPr>
        <w:t>周，</w:t>
      </w:r>
      <w:r>
        <w:rPr>
          <w:rFonts w:ascii="仿宋" w:hAnsi="仿宋" w:eastAsia="仿宋" w:cs="仿宋_GB2312"/>
          <w:sz w:val="32"/>
          <w:szCs w:val="32"/>
          <w:lang w:eastAsia="zh-CN"/>
        </w:rPr>
        <w:t>224</w:t>
      </w:r>
      <w:r>
        <w:rPr>
          <w:rFonts w:hint="eastAsia" w:ascii="仿宋" w:hAnsi="仿宋" w:eastAsia="仿宋" w:cs="仿宋_GB2312"/>
          <w:sz w:val="32"/>
          <w:szCs w:val="32"/>
          <w:lang w:eastAsia="zh-CN"/>
        </w:rPr>
        <w:t>课时，学员到课</w:t>
      </w:r>
      <w:r>
        <w:rPr>
          <w:rFonts w:ascii="仿宋" w:hAnsi="仿宋" w:eastAsia="仿宋" w:cs="仿宋_GB2312"/>
          <w:sz w:val="32"/>
          <w:szCs w:val="32"/>
          <w:lang w:eastAsia="zh-CN"/>
        </w:rPr>
        <w:t>10000</w:t>
      </w:r>
      <w:r>
        <w:rPr>
          <w:rFonts w:hint="eastAsia" w:ascii="仿宋" w:hAnsi="仿宋" w:eastAsia="仿宋" w:cs="仿宋_GB2312"/>
          <w:sz w:val="32"/>
          <w:szCs w:val="32"/>
          <w:lang w:eastAsia="zh-CN"/>
        </w:rPr>
        <w:t>余人次，圆满完成了全年的教学任务。</w:t>
      </w:r>
      <w:r>
        <w:rPr>
          <w:rFonts w:ascii="仿宋" w:hAnsi="仿宋" w:eastAsia="仿宋" w:cs="仿宋_GB2312"/>
          <w:sz w:val="32"/>
          <w:szCs w:val="32"/>
          <w:lang w:eastAsia="zh-CN"/>
        </w:rPr>
        <w:t>9</w:t>
      </w:r>
      <w:r>
        <w:rPr>
          <w:rFonts w:hint="eastAsia" w:ascii="仿宋" w:hAnsi="仿宋" w:eastAsia="仿宋" w:cs="仿宋_GB2312"/>
          <w:sz w:val="32"/>
          <w:szCs w:val="32"/>
          <w:lang w:eastAsia="zh-CN"/>
        </w:rPr>
        <w:t>月份参加市委老干部局举办的“壮丽</w:t>
      </w:r>
      <w:r>
        <w:rPr>
          <w:rFonts w:ascii="仿宋" w:hAnsi="仿宋" w:eastAsia="仿宋" w:cs="仿宋_GB2312"/>
          <w:sz w:val="32"/>
          <w:szCs w:val="32"/>
          <w:lang w:eastAsia="zh-CN"/>
        </w:rPr>
        <w:t>70</w:t>
      </w:r>
      <w:r>
        <w:rPr>
          <w:rFonts w:hint="eastAsia" w:ascii="仿宋" w:hAnsi="仿宋" w:eastAsia="仿宋" w:cs="仿宋_GB2312"/>
          <w:sz w:val="32"/>
          <w:szCs w:val="32"/>
          <w:lang w:eastAsia="zh-CN"/>
        </w:rPr>
        <w:t>年，奋斗新时代”全市庆祝建国</w:t>
      </w:r>
      <w:r>
        <w:rPr>
          <w:rFonts w:ascii="仿宋" w:hAnsi="仿宋" w:eastAsia="仿宋" w:cs="仿宋_GB2312"/>
          <w:sz w:val="32"/>
          <w:szCs w:val="32"/>
          <w:lang w:eastAsia="zh-CN"/>
        </w:rPr>
        <w:t>70</w:t>
      </w:r>
      <w:r>
        <w:rPr>
          <w:rFonts w:hint="eastAsia" w:ascii="仿宋" w:hAnsi="仿宋" w:eastAsia="仿宋" w:cs="仿宋_GB2312"/>
          <w:sz w:val="32"/>
          <w:szCs w:val="32"/>
          <w:lang w:eastAsia="zh-CN"/>
        </w:rPr>
        <w:t>周年老干部文艺调演，女声独唱《亲吻祖国》荣获优秀节目奖。老年书画研究会被廊坊市委老干部局和老年书画研究会授予“廊坊市第十届老年书画联谊会优秀组织奖”称号。老年书画研究会，按照工作计划共组织会员开展了作品点评、笔会、送春联、书画联谊等活动。</w:t>
      </w:r>
      <w:r>
        <w:rPr>
          <w:rFonts w:ascii="仿宋" w:hAnsi="仿宋" w:eastAsia="仿宋" w:cs="仿宋_GB2312"/>
          <w:sz w:val="32"/>
          <w:szCs w:val="32"/>
          <w:lang w:eastAsia="zh-CN"/>
        </w:rPr>
        <w:t>9</w:t>
      </w:r>
      <w:r>
        <w:rPr>
          <w:rFonts w:hint="eastAsia" w:ascii="仿宋" w:hAnsi="仿宋" w:eastAsia="仿宋" w:cs="仿宋_GB2312"/>
          <w:sz w:val="32"/>
          <w:szCs w:val="32"/>
          <w:lang w:eastAsia="zh-CN"/>
        </w:rPr>
        <w:t>月份与老年大学联合举办了庆祝新中国成立</w:t>
      </w:r>
      <w:r>
        <w:rPr>
          <w:rFonts w:ascii="仿宋" w:hAnsi="仿宋" w:eastAsia="仿宋" w:cs="仿宋_GB2312"/>
          <w:sz w:val="32"/>
          <w:szCs w:val="32"/>
          <w:lang w:eastAsia="zh-CN"/>
        </w:rPr>
        <w:t>70</w:t>
      </w:r>
      <w:r>
        <w:rPr>
          <w:rFonts w:hint="eastAsia" w:ascii="仿宋" w:hAnsi="仿宋" w:eastAsia="仿宋" w:cs="仿宋_GB2312"/>
          <w:sz w:val="32"/>
          <w:szCs w:val="32"/>
          <w:lang w:eastAsia="zh-CN"/>
        </w:rPr>
        <w:t>周年书画展，出版了《诗书画集》，在廊访第十届老年书画联谊会书画展中有</w:t>
      </w:r>
      <w:r>
        <w:rPr>
          <w:rFonts w:ascii="仿宋" w:hAnsi="仿宋" w:eastAsia="仿宋" w:cs="仿宋_GB2312"/>
          <w:sz w:val="32"/>
          <w:szCs w:val="32"/>
          <w:lang w:eastAsia="zh-CN"/>
        </w:rPr>
        <w:t>15</w:t>
      </w:r>
      <w:r>
        <w:rPr>
          <w:rFonts w:hint="eastAsia" w:ascii="仿宋" w:hAnsi="仿宋" w:eastAsia="仿宋" w:cs="仿宋_GB2312"/>
          <w:sz w:val="32"/>
          <w:szCs w:val="32"/>
          <w:lang w:eastAsia="zh-CN"/>
        </w:rPr>
        <w:t>幅作品入展，荣获一等奖</w:t>
      </w:r>
      <w:r>
        <w:rPr>
          <w:rFonts w:ascii="仿宋" w:hAnsi="仿宋" w:eastAsia="仿宋" w:cs="仿宋_GB2312"/>
          <w:sz w:val="32"/>
          <w:szCs w:val="32"/>
          <w:lang w:eastAsia="zh-CN"/>
        </w:rPr>
        <w:t>1</w:t>
      </w:r>
      <w:r>
        <w:rPr>
          <w:rFonts w:hint="eastAsia" w:ascii="仿宋" w:hAnsi="仿宋" w:eastAsia="仿宋" w:cs="仿宋_GB2312"/>
          <w:sz w:val="32"/>
          <w:szCs w:val="32"/>
          <w:lang w:eastAsia="zh-CN"/>
        </w:rPr>
        <w:t>个，二等奖</w:t>
      </w:r>
      <w:r>
        <w:rPr>
          <w:rFonts w:ascii="仿宋" w:hAnsi="仿宋" w:eastAsia="仿宋" w:cs="仿宋_GB2312"/>
          <w:sz w:val="32"/>
          <w:szCs w:val="32"/>
          <w:lang w:eastAsia="zh-CN"/>
        </w:rPr>
        <w:t>2</w:t>
      </w:r>
      <w:r>
        <w:rPr>
          <w:rFonts w:hint="eastAsia" w:ascii="仿宋" w:hAnsi="仿宋" w:eastAsia="仿宋" w:cs="仿宋_GB2312"/>
          <w:sz w:val="32"/>
          <w:szCs w:val="32"/>
          <w:lang w:eastAsia="zh-CN"/>
        </w:rPr>
        <w:t>个</w:t>
      </w:r>
      <w:r>
        <w:rPr>
          <w:rFonts w:ascii="仿宋" w:hAnsi="仿宋" w:eastAsia="仿宋" w:cs="仿宋_GB2312"/>
          <w:sz w:val="32"/>
          <w:szCs w:val="32"/>
          <w:lang w:eastAsia="zh-CN"/>
        </w:rPr>
        <w:t xml:space="preserve"> </w:t>
      </w:r>
      <w:r>
        <w:rPr>
          <w:rFonts w:hint="eastAsia" w:ascii="仿宋" w:hAnsi="仿宋" w:eastAsia="仿宋" w:cs="仿宋_GB2312"/>
          <w:sz w:val="32"/>
          <w:szCs w:val="32"/>
          <w:lang w:eastAsia="zh-CN"/>
        </w:rPr>
        <w:t>，三等奖</w:t>
      </w:r>
      <w:r>
        <w:rPr>
          <w:rFonts w:ascii="仿宋" w:hAnsi="仿宋" w:eastAsia="仿宋" w:cs="仿宋_GB2312"/>
          <w:sz w:val="32"/>
          <w:szCs w:val="32"/>
          <w:lang w:eastAsia="zh-CN"/>
        </w:rPr>
        <w:t>3</w:t>
      </w:r>
      <w:r>
        <w:rPr>
          <w:rFonts w:hint="eastAsia" w:ascii="仿宋" w:hAnsi="仿宋" w:eastAsia="仿宋" w:cs="仿宋_GB2312"/>
          <w:sz w:val="32"/>
          <w:szCs w:val="32"/>
          <w:lang w:eastAsia="zh-CN"/>
        </w:rPr>
        <w:t>个，并荣获优秀组织奖。全县关心教育下一代工作，上半年先后开展了两次大型基层调研活动，调研主题包括各级关工委组织成员变化和“五老”队伍发展情况、四点钟课堂开展情况、农村青年的培训帮扶情况等。在喜迎新中国成立</w:t>
      </w:r>
      <w:r>
        <w:rPr>
          <w:rFonts w:ascii="仿宋" w:hAnsi="仿宋" w:eastAsia="仿宋" w:cs="仿宋_GB2312"/>
          <w:sz w:val="32"/>
          <w:szCs w:val="32"/>
          <w:lang w:eastAsia="zh-CN"/>
        </w:rPr>
        <w:t>70</w:t>
      </w:r>
      <w:r>
        <w:rPr>
          <w:rFonts w:hint="eastAsia" w:ascii="仿宋" w:hAnsi="仿宋" w:eastAsia="仿宋" w:cs="仿宋_GB2312"/>
          <w:sz w:val="32"/>
          <w:szCs w:val="32"/>
          <w:lang w:eastAsia="zh-CN"/>
        </w:rPr>
        <w:t>周年之际，县关工委会同县教体局关工委在广大中小学生中开展了一系列活动，如开展“红色教育宣讲”、“师生联唱”歌颂伟大的祖国、开展“党员志愿服务”等。县关工委组织参与“革命传统和爱国主义教育”、“法制教育”和“科技教育”三大报告团的全体“五老”人员一行</w:t>
      </w:r>
      <w:r>
        <w:rPr>
          <w:rFonts w:ascii="仿宋" w:hAnsi="仿宋" w:eastAsia="仿宋" w:cs="仿宋_GB2312"/>
          <w:sz w:val="32"/>
          <w:szCs w:val="32"/>
          <w:lang w:eastAsia="zh-CN"/>
        </w:rPr>
        <w:t>10</w:t>
      </w:r>
      <w:r>
        <w:rPr>
          <w:rFonts w:hint="eastAsia" w:ascii="仿宋" w:hAnsi="仿宋" w:eastAsia="仿宋" w:cs="仿宋_GB2312"/>
          <w:sz w:val="32"/>
          <w:szCs w:val="32"/>
          <w:lang w:eastAsia="zh-CN"/>
        </w:rPr>
        <w:t>人参观了位于北京市顺义区焦庄户村地道战遗址纪念馆，铭记历史，缅怀先烈，珍爱和平，开创未来。今年申报</w:t>
      </w:r>
      <w:r>
        <w:rPr>
          <w:rFonts w:ascii="仿宋" w:hAnsi="仿宋" w:eastAsia="仿宋" w:cs="仿宋_GB2312"/>
          <w:sz w:val="32"/>
          <w:szCs w:val="32"/>
          <w:lang w:eastAsia="zh-CN"/>
        </w:rPr>
        <w:t>4</w:t>
      </w:r>
      <w:r>
        <w:rPr>
          <w:rFonts w:hint="eastAsia" w:ascii="仿宋" w:hAnsi="仿宋" w:eastAsia="仿宋" w:cs="仿宋_GB2312"/>
          <w:sz w:val="32"/>
          <w:szCs w:val="32"/>
          <w:lang w:eastAsia="zh-CN"/>
        </w:rPr>
        <w:t>个“五老”青少年服务中心，其中有</w:t>
      </w:r>
      <w:r>
        <w:rPr>
          <w:rFonts w:ascii="仿宋" w:hAnsi="仿宋" w:eastAsia="仿宋" w:cs="仿宋_GB2312"/>
          <w:sz w:val="32"/>
          <w:szCs w:val="32"/>
          <w:lang w:eastAsia="zh-CN"/>
        </w:rPr>
        <w:t>2</w:t>
      </w:r>
      <w:r>
        <w:rPr>
          <w:rFonts w:hint="eastAsia" w:ascii="仿宋" w:hAnsi="仿宋" w:eastAsia="仿宋" w:cs="仿宋_GB2312"/>
          <w:sz w:val="32"/>
          <w:szCs w:val="32"/>
          <w:lang w:eastAsia="zh-CN"/>
        </w:rPr>
        <w:t>名被省评为优秀“五老”人员。出版《雨露报》四期。</w:t>
      </w:r>
      <w:r>
        <w:rPr>
          <w:rFonts w:ascii="仿宋" w:hAnsi="仿宋" w:eastAsia="仿宋" w:cs="仿宋_GB2312"/>
          <w:sz w:val="32"/>
          <w:szCs w:val="32"/>
          <w:lang w:eastAsia="zh-CN"/>
        </w:rPr>
        <w:t>5</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10</w:t>
      </w:r>
      <w:r>
        <w:rPr>
          <w:rFonts w:hint="eastAsia" w:ascii="仿宋" w:hAnsi="仿宋" w:eastAsia="仿宋" w:cs="仿宋_GB2312"/>
          <w:sz w:val="32"/>
          <w:szCs w:val="32"/>
          <w:lang w:eastAsia="zh-CN"/>
        </w:rPr>
        <w:t>日、</w:t>
      </w:r>
      <w:r>
        <w:rPr>
          <w:rFonts w:ascii="仿宋" w:hAnsi="仿宋" w:eastAsia="仿宋" w:cs="仿宋_GB2312"/>
          <w:sz w:val="32"/>
          <w:szCs w:val="32"/>
          <w:lang w:eastAsia="zh-CN"/>
        </w:rPr>
        <w:t>11</w:t>
      </w:r>
      <w:r>
        <w:rPr>
          <w:rFonts w:hint="eastAsia" w:ascii="仿宋" w:hAnsi="仿宋" w:eastAsia="仿宋" w:cs="仿宋_GB2312"/>
          <w:sz w:val="32"/>
          <w:szCs w:val="32"/>
          <w:lang w:eastAsia="zh-CN"/>
        </w:rPr>
        <w:t>日芳草地家庭教育研究中心的家庭教育讲师分别在香河县第四中学、香河县第四小学举办了“家校共育”讲座。在“全国养成教育建设研讨会暨好习惯之星表彰活动”中，香河县关工委、教育局、二中、二小、二幼和芳草地家教研究中心等</w:t>
      </w:r>
      <w:r>
        <w:rPr>
          <w:rFonts w:ascii="仿宋" w:hAnsi="仿宋" w:eastAsia="仿宋" w:cs="仿宋_GB2312"/>
          <w:sz w:val="32"/>
          <w:szCs w:val="32"/>
          <w:lang w:eastAsia="zh-CN"/>
        </w:rPr>
        <w:t>6</w:t>
      </w:r>
      <w:r>
        <w:rPr>
          <w:rFonts w:hint="eastAsia" w:ascii="仿宋" w:hAnsi="仿宋" w:eastAsia="仿宋" w:cs="仿宋_GB2312"/>
          <w:sz w:val="32"/>
          <w:szCs w:val="32"/>
          <w:lang w:eastAsia="zh-CN"/>
        </w:rPr>
        <w:t>个单位被评为先进集体，</w:t>
      </w:r>
      <w:r>
        <w:rPr>
          <w:rFonts w:ascii="仿宋" w:hAnsi="仿宋" w:eastAsia="仿宋" w:cs="仿宋_GB2312"/>
          <w:sz w:val="32"/>
          <w:szCs w:val="32"/>
          <w:lang w:eastAsia="zh-CN"/>
        </w:rPr>
        <w:t>55</w:t>
      </w:r>
      <w:r>
        <w:rPr>
          <w:rFonts w:hint="eastAsia" w:ascii="仿宋" w:hAnsi="仿宋" w:eastAsia="仿宋" w:cs="仿宋_GB2312"/>
          <w:sz w:val="32"/>
          <w:szCs w:val="32"/>
          <w:lang w:eastAsia="zh-CN"/>
        </w:rPr>
        <w:t>名教师被评为“好习惯培养师”，</w:t>
      </w:r>
      <w:r>
        <w:rPr>
          <w:rFonts w:ascii="仿宋" w:hAnsi="仿宋" w:eastAsia="仿宋" w:cs="仿宋_GB2312"/>
          <w:sz w:val="32"/>
          <w:szCs w:val="32"/>
          <w:lang w:eastAsia="zh-CN"/>
        </w:rPr>
        <w:t>29</w:t>
      </w:r>
      <w:r>
        <w:rPr>
          <w:rFonts w:hint="eastAsia" w:ascii="仿宋" w:hAnsi="仿宋" w:eastAsia="仿宋" w:cs="仿宋_GB2312"/>
          <w:sz w:val="32"/>
          <w:szCs w:val="32"/>
          <w:lang w:eastAsia="zh-CN"/>
        </w:rPr>
        <w:t>名学生被评为“好习惯之星”。</w:t>
      </w:r>
      <w:r>
        <w:rPr>
          <w:rFonts w:ascii="仿宋" w:hAnsi="仿宋" w:eastAsia="仿宋" w:cs="仿宋_GB2312"/>
          <w:sz w:val="32"/>
          <w:szCs w:val="32"/>
          <w:lang w:eastAsia="zh-CN"/>
        </w:rPr>
        <w:t>10</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22</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26</w:t>
      </w:r>
      <w:r>
        <w:rPr>
          <w:rFonts w:hint="eastAsia" w:ascii="仿宋" w:hAnsi="仿宋" w:eastAsia="仿宋" w:cs="仿宋_GB2312"/>
          <w:sz w:val="32"/>
          <w:szCs w:val="32"/>
          <w:lang w:eastAsia="zh-CN"/>
        </w:rPr>
        <w:t>日，关工委同教体局联合举办了养成教育实验校园专题培训。县老体协工作，积极开展老干部体育交流活动。</w:t>
      </w:r>
      <w:r>
        <w:rPr>
          <w:rFonts w:ascii="仿宋" w:hAnsi="仿宋" w:eastAsia="仿宋" w:cs="仿宋_GB2312"/>
          <w:sz w:val="32"/>
          <w:szCs w:val="32"/>
          <w:lang w:eastAsia="zh-CN"/>
        </w:rPr>
        <w:t>3</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25</w:t>
      </w:r>
      <w:r>
        <w:rPr>
          <w:rFonts w:hint="eastAsia" w:ascii="仿宋" w:hAnsi="仿宋" w:eastAsia="仿宋" w:cs="仿宋_GB2312"/>
          <w:sz w:val="32"/>
          <w:szCs w:val="32"/>
          <w:lang w:eastAsia="zh-CN"/>
        </w:rPr>
        <w:t>日老年门球队选派</w:t>
      </w:r>
      <w:r>
        <w:rPr>
          <w:rFonts w:ascii="仿宋" w:hAnsi="仿宋" w:eastAsia="仿宋" w:cs="仿宋_GB2312"/>
          <w:sz w:val="32"/>
          <w:szCs w:val="32"/>
          <w:lang w:eastAsia="zh-CN"/>
        </w:rPr>
        <w:t>2</w:t>
      </w:r>
      <w:r>
        <w:rPr>
          <w:rFonts w:hint="eastAsia" w:ascii="仿宋" w:hAnsi="仿宋" w:eastAsia="仿宋" w:cs="仿宋_GB2312"/>
          <w:sz w:val="32"/>
          <w:szCs w:val="32"/>
          <w:lang w:eastAsia="zh-CN"/>
        </w:rPr>
        <w:t>支队伍参加廊坊市第</w:t>
      </w:r>
      <w:r>
        <w:rPr>
          <w:rFonts w:ascii="仿宋" w:hAnsi="仿宋" w:eastAsia="仿宋" w:cs="仿宋_GB2312"/>
          <w:sz w:val="32"/>
          <w:szCs w:val="32"/>
          <w:lang w:eastAsia="zh-CN"/>
        </w:rPr>
        <w:t>24</w:t>
      </w:r>
      <w:r>
        <w:rPr>
          <w:rFonts w:hint="eastAsia" w:ascii="仿宋" w:hAnsi="仿宋" w:eastAsia="仿宋" w:cs="仿宋_GB2312"/>
          <w:sz w:val="32"/>
          <w:szCs w:val="32"/>
          <w:lang w:eastAsia="zh-CN"/>
        </w:rPr>
        <w:t>届妇女门球赛。</w:t>
      </w:r>
      <w:r>
        <w:rPr>
          <w:rFonts w:ascii="仿宋" w:hAnsi="仿宋" w:eastAsia="仿宋" w:cs="仿宋_GB2312"/>
          <w:sz w:val="32"/>
          <w:szCs w:val="32"/>
          <w:lang w:eastAsia="zh-CN"/>
        </w:rPr>
        <w:t>4</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16</w:t>
      </w:r>
      <w:r>
        <w:rPr>
          <w:rFonts w:hint="eastAsia" w:ascii="仿宋" w:hAnsi="仿宋" w:eastAsia="仿宋" w:cs="仿宋_GB2312"/>
          <w:sz w:val="32"/>
          <w:szCs w:val="32"/>
          <w:lang w:eastAsia="zh-CN"/>
        </w:rPr>
        <w:t>日参加廊坊市第四届会员队门球赛，获得冠军。</w:t>
      </w:r>
      <w:r>
        <w:rPr>
          <w:rFonts w:ascii="仿宋" w:hAnsi="仿宋" w:eastAsia="仿宋" w:cs="仿宋_GB2312"/>
          <w:sz w:val="32"/>
          <w:szCs w:val="32"/>
          <w:lang w:eastAsia="zh-CN"/>
        </w:rPr>
        <w:t>4</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23</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25</w:t>
      </w:r>
      <w:r>
        <w:rPr>
          <w:rFonts w:hint="eastAsia" w:ascii="仿宋" w:hAnsi="仿宋" w:eastAsia="仿宋" w:cs="仿宋_GB2312"/>
          <w:sz w:val="32"/>
          <w:szCs w:val="32"/>
          <w:lang w:eastAsia="zh-CN"/>
        </w:rPr>
        <w:t>日参加华北地区第十六届门球精英赛，荣获三等奖。</w:t>
      </w:r>
      <w:r>
        <w:rPr>
          <w:rFonts w:ascii="仿宋" w:hAnsi="仿宋" w:eastAsia="仿宋" w:cs="仿宋_GB2312"/>
          <w:sz w:val="32"/>
          <w:szCs w:val="32"/>
          <w:lang w:eastAsia="zh-CN"/>
        </w:rPr>
        <w:t>6</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12</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16</w:t>
      </w:r>
      <w:r>
        <w:rPr>
          <w:rFonts w:hint="eastAsia" w:ascii="仿宋" w:hAnsi="仿宋" w:eastAsia="仿宋" w:cs="仿宋_GB2312"/>
          <w:sz w:val="32"/>
          <w:szCs w:val="32"/>
          <w:lang w:eastAsia="zh-CN"/>
        </w:rPr>
        <w:t>日参加河北省手拍鼓培训。</w:t>
      </w:r>
      <w:r>
        <w:rPr>
          <w:rFonts w:ascii="仿宋" w:hAnsi="仿宋" w:eastAsia="仿宋" w:cs="仿宋_GB2312"/>
          <w:sz w:val="32"/>
          <w:szCs w:val="32"/>
          <w:lang w:eastAsia="zh-CN"/>
        </w:rPr>
        <w:t>7</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29</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8</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w:t>
      </w:r>
      <w:r>
        <w:rPr>
          <w:rFonts w:hint="eastAsia" w:ascii="仿宋" w:hAnsi="仿宋" w:eastAsia="仿宋" w:cs="仿宋_GB2312"/>
          <w:sz w:val="32"/>
          <w:szCs w:val="32"/>
          <w:lang w:eastAsia="zh-CN"/>
        </w:rPr>
        <w:t>日参加河北省老年柔力球比赛，荣获优秀奖。</w:t>
      </w:r>
      <w:r>
        <w:rPr>
          <w:rFonts w:ascii="仿宋" w:hAnsi="仿宋" w:eastAsia="仿宋" w:cs="仿宋_GB2312"/>
          <w:sz w:val="32"/>
          <w:szCs w:val="32"/>
          <w:lang w:eastAsia="zh-CN"/>
        </w:rPr>
        <w:t>8</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23</w:t>
      </w:r>
      <w:r>
        <w:rPr>
          <w:rFonts w:hint="eastAsia" w:ascii="仿宋" w:hAnsi="仿宋" w:eastAsia="仿宋" w:cs="仿宋_GB2312"/>
          <w:sz w:val="32"/>
          <w:szCs w:val="32"/>
          <w:lang w:eastAsia="zh-CN"/>
        </w:rPr>
        <w:t>日参加廊坊市老年象棋比赛，荣获个人第一名。</w:t>
      </w:r>
      <w:r>
        <w:rPr>
          <w:rFonts w:ascii="仿宋" w:hAnsi="仿宋" w:eastAsia="仿宋" w:cs="仿宋_GB2312"/>
          <w:sz w:val="32"/>
          <w:szCs w:val="32"/>
          <w:lang w:eastAsia="zh-CN"/>
        </w:rPr>
        <w:t>8</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19</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23</w:t>
      </w:r>
      <w:r>
        <w:rPr>
          <w:rFonts w:hint="eastAsia" w:ascii="仿宋" w:hAnsi="仿宋" w:eastAsia="仿宋" w:cs="仿宋_GB2312"/>
          <w:sz w:val="32"/>
          <w:szCs w:val="32"/>
          <w:lang w:eastAsia="zh-CN"/>
        </w:rPr>
        <w:t>日参加全国持杖健走活动交流，荣获团体优秀奖。</w:t>
      </w:r>
      <w:r>
        <w:rPr>
          <w:rFonts w:ascii="仿宋" w:hAnsi="仿宋" w:eastAsia="仿宋" w:cs="仿宋_GB2312"/>
          <w:sz w:val="32"/>
          <w:szCs w:val="32"/>
          <w:lang w:eastAsia="zh-CN"/>
        </w:rPr>
        <w:t>9</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2</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5</w:t>
      </w:r>
      <w:r>
        <w:rPr>
          <w:rFonts w:hint="eastAsia" w:ascii="仿宋" w:hAnsi="仿宋" w:eastAsia="仿宋" w:cs="仿宋_GB2312"/>
          <w:sz w:val="32"/>
          <w:szCs w:val="32"/>
          <w:lang w:eastAsia="zh-CN"/>
        </w:rPr>
        <w:t>日参加河北首健身球操比赛，荣获优秀奖。</w:t>
      </w:r>
      <w:r>
        <w:rPr>
          <w:rFonts w:ascii="仿宋" w:hAnsi="仿宋" w:eastAsia="仿宋" w:cs="仿宋_GB2312"/>
          <w:sz w:val="32"/>
          <w:szCs w:val="32"/>
          <w:lang w:eastAsia="zh-CN"/>
        </w:rPr>
        <w:t>9</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16</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19</w:t>
      </w:r>
      <w:r>
        <w:rPr>
          <w:rFonts w:hint="eastAsia" w:ascii="仿宋" w:hAnsi="仿宋" w:eastAsia="仿宋" w:cs="仿宋_GB2312"/>
          <w:sz w:val="32"/>
          <w:szCs w:val="32"/>
          <w:lang w:eastAsia="zh-CN"/>
        </w:rPr>
        <w:t>日参加河北省老年象棋交流，荣获优秀奖。</w:t>
      </w:r>
      <w:r>
        <w:rPr>
          <w:rFonts w:ascii="仿宋" w:hAnsi="仿宋" w:eastAsia="仿宋" w:cs="仿宋_GB2312"/>
          <w:sz w:val="32"/>
          <w:szCs w:val="32"/>
          <w:lang w:eastAsia="zh-CN"/>
        </w:rPr>
        <w:t>9</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16</w:t>
      </w:r>
      <w:r>
        <w:rPr>
          <w:rFonts w:hint="eastAsia" w:ascii="仿宋" w:hAnsi="仿宋" w:eastAsia="仿宋" w:cs="仿宋_GB2312"/>
          <w:sz w:val="32"/>
          <w:szCs w:val="32"/>
          <w:lang w:eastAsia="zh-CN"/>
        </w:rPr>
        <w:t>日参加廊坊市太极拳（剑）比赛，荣获团体优胜奖。</w:t>
      </w:r>
      <w:r>
        <w:rPr>
          <w:rFonts w:ascii="仿宋" w:hAnsi="仿宋" w:eastAsia="仿宋" w:cs="仿宋_GB2312"/>
          <w:sz w:val="32"/>
          <w:szCs w:val="32"/>
          <w:lang w:eastAsia="zh-CN"/>
        </w:rPr>
        <w:t>10</w:t>
      </w:r>
      <w:r>
        <w:rPr>
          <w:rFonts w:hint="eastAsia" w:ascii="仿宋" w:hAnsi="仿宋" w:eastAsia="仿宋" w:cs="仿宋_GB2312"/>
          <w:sz w:val="32"/>
          <w:szCs w:val="32"/>
          <w:lang w:eastAsia="zh-CN"/>
        </w:rPr>
        <w:t>月</w:t>
      </w:r>
      <w:r>
        <w:rPr>
          <w:rFonts w:ascii="仿宋" w:hAnsi="仿宋" w:eastAsia="仿宋" w:cs="仿宋_GB2312"/>
          <w:sz w:val="32"/>
          <w:szCs w:val="32"/>
          <w:lang w:eastAsia="zh-CN"/>
        </w:rPr>
        <w:t>17</w:t>
      </w:r>
      <w:r>
        <w:rPr>
          <w:rFonts w:hint="eastAsia" w:ascii="仿宋" w:hAnsi="仿宋" w:eastAsia="仿宋" w:cs="仿宋_GB2312"/>
          <w:sz w:val="32"/>
          <w:szCs w:val="32"/>
          <w:lang w:eastAsia="zh-CN"/>
        </w:rPr>
        <w:t>日至</w:t>
      </w:r>
      <w:r>
        <w:rPr>
          <w:rFonts w:ascii="仿宋" w:hAnsi="仿宋" w:eastAsia="仿宋" w:cs="仿宋_GB2312"/>
          <w:sz w:val="32"/>
          <w:szCs w:val="32"/>
          <w:lang w:eastAsia="zh-CN"/>
        </w:rPr>
        <w:t>18</w:t>
      </w:r>
      <w:r>
        <w:rPr>
          <w:rFonts w:hint="eastAsia" w:ascii="仿宋" w:hAnsi="仿宋" w:eastAsia="仿宋" w:cs="仿宋_GB2312"/>
          <w:sz w:val="32"/>
          <w:szCs w:val="32"/>
          <w:lang w:eastAsia="zh-CN"/>
        </w:rPr>
        <w:t>日参加廊坊市老年人柔力球最新套路培训班。老促会工作，与市老促会联系老区发展史统一出版等事宜，对《香河县老区发展史》时行编审，协调出版发行</w:t>
      </w:r>
      <w:r>
        <w:rPr>
          <w:rFonts w:hint="eastAsia" w:ascii="仿宋_GB2312" w:hAnsi="仿宋" w:eastAsia="仿宋_GB2312"/>
          <w:sz w:val="32"/>
          <w:szCs w:val="32"/>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综上所述，</w:t>
      </w:r>
      <w:r>
        <w:rPr>
          <w:rFonts w:hint="eastAsia" w:ascii="仿宋_GB2312" w:hAnsi="Tahoma" w:eastAsia="仿宋_GB2312" w:cs="Tahoma"/>
          <w:kern w:val="0"/>
          <w:sz w:val="32"/>
          <w:szCs w:val="32"/>
        </w:rPr>
        <w:t>香河县县委组织部</w:t>
      </w:r>
      <w:r>
        <w:rPr>
          <w:rFonts w:hint="eastAsia" w:ascii="仿宋_GB2312" w:hAnsi="Tahoma" w:eastAsia="仿宋_GB2312" w:cs="Tahoma"/>
          <w:kern w:val="0"/>
          <w:sz w:val="32"/>
          <w:szCs w:val="32"/>
          <w:lang w:val="en-US" w:eastAsia="zh-CN"/>
        </w:rPr>
        <w:t>2019年度绩效目标均已完成，项目绩效评价综合等级均为优。</w:t>
      </w:r>
    </w:p>
    <w:p>
      <w:pPr>
        <w:keepNext w:val="0"/>
        <w:keepLines w:val="0"/>
        <w:pageBreakBefore w:val="0"/>
        <w:widowControl/>
        <w:kinsoku/>
        <w:wordWrap/>
        <w:overflowPunct/>
        <w:topLinePunct w:val="0"/>
        <w:autoSpaceDE w:val="0"/>
        <w:autoSpaceDN w:val="0"/>
        <w:bidi w:val="0"/>
        <w:adjustRightInd w:val="0"/>
        <w:snapToGrid/>
        <w:spacing w:line="560" w:lineRule="exact"/>
        <w:ind w:firstLine="643" w:firstLineChars="200"/>
        <w:textAlignment w:val="auto"/>
        <w:rPr>
          <w:rFonts w:hint="eastAsia" w:ascii="仿宋" w:hAnsi="仿宋" w:eastAsia="仿宋" w:cs="仿宋"/>
          <w:b/>
          <w:bCs/>
          <w:color w:val="000000" w:themeColor="text1"/>
          <w:sz w:val="32"/>
          <w:szCs w:val="32"/>
          <w:lang w:eastAsia="zh-CN"/>
        </w:rPr>
      </w:pPr>
      <w:r>
        <w:rPr>
          <w:rFonts w:hint="eastAsia" w:ascii="仿宋" w:hAnsi="仿宋" w:eastAsia="仿宋" w:cs="仿宋"/>
          <w:b/>
          <w:bCs/>
          <w:color w:val="000000" w:themeColor="text1"/>
          <w:sz w:val="32"/>
          <w:szCs w:val="32"/>
          <w:lang w:eastAsia="zh-CN"/>
        </w:rPr>
        <w:t>三、部门（单位）整体绩效评价存在问题及改进措施</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（一）主要问题及原因分析</w:t>
      </w:r>
    </w:p>
    <w:p>
      <w:pPr>
        <w:keepNext w:val="0"/>
        <w:keepLines w:val="0"/>
        <w:pageBreakBefore w:val="0"/>
        <w:widowControl/>
        <w:suppressLineNumbers w:val="0"/>
        <w:kinsoku/>
        <w:wordWrap/>
        <w:overflowPunct/>
        <w:topLinePunct w:val="0"/>
        <w:bidi w:val="0"/>
        <w:snapToGrid/>
        <w:spacing w:line="560" w:lineRule="exact"/>
        <w:ind w:left="638" w:leftChars="266" w:firstLine="0" w:firstLineChars="0"/>
        <w:jc w:val="left"/>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kern w:val="0"/>
          <w:sz w:val="32"/>
          <w:szCs w:val="32"/>
          <w:lang w:val="en-US" w:eastAsia="zh-CN" w:bidi="ar"/>
        </w:rPr>
        <w:t xml:space="preserve">1、绩效评价管理制度尚不健全；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2、对绩效评价工作认识不够；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3、人员素质有待提高。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sz w:val="32"/>
          <w:szCs w:val="32"/>
          <w:lang w:eastAsia="zh-CN"/>
        </w:rPr>
        <w:t>（二）改进的方向和具体措施</w:t>
      </w:r>
    </w:p>
    <w:p>
      <w:pPr>
        <w:keepNext w:val="0"/>
        <w:keepLines w:val="0"/>
        <w:pageBreakBefore w:val="0"/>
        <w:widowControl/>
        <w:suppressLineNumbers w:val="0"/>
        <w:kinsoku/>
        <w:wordWrap/>
        <w:overflowPunct/>
        <w:topLinePunct w:val="0"/>
        <w:bidi w:val="0"/>
        <w:snapToGrid/>
        <w:spacing w:line="560" w:lineRule="exact"/>
        <w:ind w:left="638" w:leftChars="266" w:firstLine="0" w:firstLineChars="0"/>
        <w:jc w:val="left"/>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kern w:val="0"/>
          <w:sz w:val="32"/>
          <w:szCs w:val="32"/>
          <w:lang w:val="en-US" w:eastAsia="zh-CN" w:bidi="ar"/>
        </w:rPr>
        <w:t xml:space="preserve">1、完善绩效评价工作制度；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 xml:space="preserve">2、加强学习培训，提升业务能力； </w:t>
      </w:r>
      <w:r>
        <w:rPr>
          <w:rFonts w:hint="eastAsia" w:ascii="仿宋" w:hAnsi="仿宋" w:eastAsia="仿宋" w:cs="仿宋"/>
          <w:color w:val="000000" w:themeColor="text1"/>
          <w:kern w:val="0"/>
          <w:sz w:val="32"/>
          <w:szCs w:val="32"/>
          <w:lang w:val="en-US" w:eastAsia="zh-CN" w:bidi="ar"/>
        </w:rPr>
        <w:br w:type="textWrapping"/>
      </w:r>
      <w:r>
        <w:rPr>
          <w:rFonts w:hint="eastAsia" w:ascii="仿宋" w:hAnsi="仿宋" w:eastAsia="仿宋" w:cs="仿宋"/>
          <w:color w:val="000000" w:themeColor="text1"/>
          <w:kern w:val="0"/>
          <w:sz w:val="32"/>
          <w:szCs w:val="32"/>
          <w:lang w:val="en-US" w:eastAsia="zh-CN" w:bidi="ar"/>
        </w:rPr>
        <w:t>3、加大宣传力度，树立绩效管理概念。</w:t>
      </w:r>
    </w:p>
    <w:p>
      <w:pPr>
        <w:keepNext w:val="0"/>
        <w:keepLines w:val="0"/>
        <w:pageBreakBefore w:val="0"/>
        <w:widowControl/>
        <w:kinsoku/>
        <w:wordWrap/>
        <w:overflowPunct/>
        <w:topLinePunct w:val="0"/>
        <w:autoSpaceDE w:val="0"/>
        <w:autoSpaceDN w:val="0"/>
        <w:bidi w:val="0"/>
        <w:adjustRightInd w:val="0"/>
        <w:snapToGrid/>
        <w:spacing w:line="560" w:lineRule="exact"/>
        <w:ind w:firstLine="643" w:firstLineChars="200"/>
        <w:textAlignment w:val="auto"/>
        <w:rPr>
          <w:rFonts w:eastAsia="仿宋_GB2312"/>
          <w:sz w:val="32"/>
          <w:szCs w:val="32"/>
          <w:lang w:eastAsia="zh-CN"/>
        </w:rPr>
      </w:pPr>
      <w:r>
        <w:rPr>
          <w:rFonts w:eastAsia="仿宋_GB2312"/>
          <w:b/>
          <w:bCs/>
          <w:sz w:val="32"/>
          <w:szCs w:val="32"/>
          <w:lang w:eastAsia="zh-CN"/>
        </w:rPr>
        <w:t>四、绩效自评结果拟应用和公开情况</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textAlignment w:val="auto"/>
        <w:rPr>
          <w:lang w:eastAsia="zh-CN"/>
        </w:rPr>
      </w:pPr>
      <w:r>
        <w:rPr>
          <w:rFonts w:hint="eastAsia" w:ascii="仿宋" w:hAnsi="仿宋" w:eastAsia="仿宋" w:cs="仿宋"/>
          <w:color w:val="000000"/>
          <w:sz w:val="32"/>
          <w:szCs w:val="32"/>
          <w:shd w:val="clear" w:fill="FFFFFF"/>
        </w:rPr>
        <w:t>2019年</w:t>
      </w:r>
      <w:r>
        <w:rPr>
          <w:rFonts w:hint="eastAsia" w:ascii="仿宋" w:hAnsi="仿宋" w:eastAsia="仿宋" w:cs="仿宋"/>
          <w:color w:val="000000"/>
          <w:sz w:val="32"/>
          <w:szCs w:val="32"/>
          <w:shd w:val="clear" w:fill="FFFFFF"/>
          <w:lang w:val="en-US" w:eastAsia="zh-CN"/>
        </w:rPr>
        <w:t>中共香河县委组织部</w:t>
      </w:r>
      <w:r>
        <w:rPr>
          <w:rFonts w:hint="eastAsia" w:ascii="仿宋" w:hAnsi="仿宋" w:eastAsia="仿宋" w:cs="仿宋"/>
          <w:color w:val="000000"/>
          <w:sz w:val="32"/>
          <w:szCs w:val="32"/>
          <w:shd w:val="clear" w:fill="FFFFFF"/>
        </w:rPr>
        <w:t>自评评分</w:t>
      </w:r>
      <w:r>
        <w:rPr>
          <w:rFonts w:hint="eastAsia" w:ascii="仿宋_GB2312" w:hAnsi="Tahoma" w:eastAsia="仿宋_GB2312" w:cs="Tahoma"/>
          <w:kern w:val="0"/>
          <w:sz w:val="32"/>
          <w:szCs w:val="32"/>
          <w:highlight w:val="yellow"/>
          <w:lang w:val="en-US" w:eastAsia="zh-CN"/>
        </w:rPr>
        <w:t>99.4</w:t>
      </w:r>
      <w:r>
        <w:rPr>
          <w:rFonts w:hint="eastAsia" w:ascii="仿宋" w:hAnsi="仿宋" w:eastAsia="仿宋" w:cs="仿宋"/>
          <w:color w:val="000000"/>
          <w:sz w:val="32"/>
          <w:szCs w:val="32"/>
          <w:shd w:val="clear" w:fill="FFFFFF"/>
        </w:rPr>
        <w:t>分，</w:t>
      </w:r>
      <w:r>
        <w:rPr>
          <w:rFonts w:hint="eastAsia" w:ascii="仿宋" w:hAnsi="仿宋" w:eastAsia="仿宋" w:cs="仿宋"/>
          <w:color w:val="000000"/>
          <w:sz w:val="32"/>
          <w:szCs w:val="32"/>
          <w:shd w:val="clear" w:fill="FFFFFF"/>
          <w:lang w:val="en-US" w:eastAsia="zh-CN"/>
        </w:rPr>
        <w:t>于香河县政府</w:t>
      </w:r>
      <w:r>
        <w:rPr>
          <w:rFonts w:hint="eastAsia" w:ascii="仿宋" w:hAnsi="仿宋" w:eastAsia="仿宋" w:cs="仿宋"/>
          <w:color w:val="000000"/>
          <w:sz w:val="32"/>
          <w:szCs w:val="32"/>
          <w:shd w:val="clear" w:fill="FFFFFF"/>
        </w:rPr>
        <w:t>门户网站上公开。</w:t>
      </w:r>
      <w:r>
        <w:rPr>
          <w:rFonts w:hint="eastAsia" w:ascii="仿宋" w:hAnsi="仿宋" w:eastAsia="仿宋" w:cs="仿宋"/>
          <w:sz w:val="32"/>
          <w:szCs w:val="32"/>
          <w:shd w:val="clear" w:fill="FFFFFF"/>
        </w:rPr>
        <w:t>绩效评价结果应用，既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w:t>
      </w:r>
    </w:p>
    <w:sectPr>
      <w:pgSz w:w="11907" w:h="16840"/>
      <w:pgMar w:top="1418" w:right="1531" w:bottom="1418" w:left="1531"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CD66"/>
    <w:multiLevelType w:val="singleLevel"/>
    <w:tmpl w:val="3584CD6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7CA9"/>
    <w:rsid w:val="00647DDB"/>
    <w:rsid w:val="006B7CA9"/>
    <w:rsid w:val="00FF2B3B"/>
    <w:rsid w:val="010A6855"/>
    <w:rsid w:val="013114D5"/>
    <w:rsid w:val="0858014B"/>
    <w:rsid w:val="08710C41"/>
    <w:rsid w:val="08923C2E"/>
    <w:rsid w:val="092A2555"/>
    <w:rsid w:val="0A025A01"/>
    <w:rsid w:val="0A303C91"/>
    <w:rsid w:val="0AC467DD"/>
    <w:rsid w:val="0B9A7C1D"/>
    <w:rsid w:val="0BB772AC"/>
    <w:rsid w:val="0D8D457D"/>
    <w:rsid w:val="0E053942"/>
    <w:rsid w:val="0F9D5B2C"/>
    <w:rsid w:val="11526F4B"/>
    <w:rsid w:val="12CE6494"/>
    <w:rsid w:val="141E048F"/>
    <w:rsid w:val="15D75523"/>
    <w:rsid w:val="167B0AE6"/>
    <w:rsid w:val="174D2C03"/>
    <w:rsid w:val="17995D6A"/>
    <w:rsid w:val="18A027E4"/>
    <w:rsid w:val="19633EEA"/>
    <w:rsid w:val="1ACB43B1"/>
    <w:rsid w:val="1EC12F77"/>
    <w:rsid w:val="1F67520B"/>
    <w:rsid w:val="24B626BA"/>
    <w:rsid w:val="26DA0204"/>
    <w:rsid w:val="2EC06E6D"/>
    <w:rsid w:val="2F3623B3"/>
    <w:rsid w:val="3078273D"/>
    <w:rsid w:val="30D902C9"/>
    <w:rsid w:val="33923BB3"/>
    <w:rsid w:val="33930632"/>
    <w:rsid w:val="339D3B98"/>
    <w:rsid w:val="354D1FF9"/>
    <w:rsid w:val="365F1643"/>
    <w:rsid w:val="3E9E112A"/>
    <w:rsid w:val="3EE21FAE"/>
    <w:rsid w:val="40BA4F55"/>
    <w:rsid w:val="41570380"/>
    <w:rsid w:val="44B05825"/>
    <w:rsid w:val="44C4596B"/>
    <w:rsid w:val="45A74D44"/>
    <w:rsid w:val="46651F92"/>
    <w:rsid w:val="4737103D"/>
    <w:rsid w:val="491F29B8"/>
    <w:rsid w:val="49844222"/>
    <w:rsid w:val="4A9B7CFC"/>
    <w:rsid w:val="4D594D97"/>
    <w:rsid w:val="4E255875"/>
    <w:rsid w:val="4E4841AE"/>
    <w:rsid w:val="4FF80B5D"/>
    <w:rsid w:val="51B966ED"/>
    <w:rsid w:val="52F97F66"/>
    <w:rsid w:val="534B41BE"/>
    <w:rsid w:val="551674A3"/>
    <w:rsid w:val="55D824DD"/>
    <w:rsid w:val="562A3C48"/>
    <w:rsid w:val="5B163AAD"/>
    <w:rsid w:val="5BD5015F"/>
    <w:rsid w:val="5E262F2A"/>
    <w:rsid w:val="60502D54"/>
    <w:rsid w:val="621C489F"/>
    <w:rsid w:val="63D1405B"/>
    <w:rsid w:val="64B519A2"/>
    <w:rsid w:val="66302D63"/>
    <w:rsid w:val="674B321A"/>
    <w:rsid w:val="68402E69"/>
    <w:rsid w:val="6A720D82"/>
    <w:rsid w:val="6D065957"/>
    <w:rsid w:val="6E994FE5"/>
    <w:rsid w:val="6FD54A92"/>
    <w:rsid w:val="701F3A7F"/>
    <w:rsid w:val="73A24E0A"/>
    <w:rsid w:val="73B334B3"/>
    <w:rsid w:val="74A00BA1"/>
    <w:rsid w:val="76BD682E"/>
    <w:rsid w:val="771C3EBC"/>
    <w:rsid w:val="773D2D0A"/>
    <w:rsid w:val="78CC01C5"/>
    <w:rsid w:val="7A2C5922"/>
    <w:rsid w:val="7D923073"/>
    <w:rsid w:val="7DD30635"/>
    <w:rsid w:val="7EC2382B"/>
    <w:rsid w:val="7EC54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character" w:styleId="9">
    <w:name w:val="FollowedHyperlink"/>
    <w:basedOn w:val="7"/>
    <w:qFormat/>
    <w:uiPriority w:val="0"/>
    <w:rPr>
      <w:rFonts w:ascii="微软雅黑" w:hAnsi="微软雅黑" w:eastAsia="微软雅黑" w:cs="微软雅黑"/>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rFonts w:hint="eastAsia" w:ascii="微软雅黑" w:hAnsi="微软雅黑" w:eastAsia="微软雅黑" w:cs="微软雅黑"/>
      <w:color w:val="333333"/>
      <w:u w:val="none"/>
    </w:rPr>
  </w:style>
  <w:style w:type="character" w:styleId="14">
    <w:name w:val="HTML Code"/>
    <w:basedOn w:val="7"/>
    <w:qFormat/>
    <w:uiPriority w:val="0"/>
    <w:rPr>
      <w:rFonts w:hint="default" w:ascii="Courier New" w:hAnsi="Courier New" w:eastAsia="Courier New" w:cs="Courier New"/>
      <w:sz w:val="20"/>
    </w:rPr>
  </w:style>
  <w:style w:type="character" w:styleId="15">
    <w:name w:val="HTML Cite"/>
    <w:basedOn w:val="7"/>
    <w:qFormat/>
    <w:uiPriority w:val="0"/>
  </w:style>
  <w:style w:type="character" w:styleId="16">
    <w:name w:val="HTML Keyboard"/>
    <w:basedOn w:val="7"/>
    <w:qFormat/>
    <w:uiPriority w:val="0"/>
    <w:rPr>
      <w:rFonts w:hint="default" w:ascii="Courier New" w:hAnsi="Courier New" w:eastAsia="Courier New" w:cs="Courier New"/>
      <w:sz w:val="20"/>
    </w:rPr>
  </w:style>
  <w:style w:type="character" w:styleId="17">
    <w:name w:val="HTML Sample"/>
    <w:basedOn w:val="7"/>
    <w:qFormat/>
    <w:uiPriority w:val="0"/>
    <w:rPr>
      <w:rFonts w:ascii="Courier New" w:hAnsi="Courier New" w:eastAsia="Courier New" w:cs="Courier New"/>
    </w:rPr>
  </w:style>
  <w:style w:type="character" w:customStyle="1" w:styleId="18">
    <w:name w:val="标题 1 Char"/>
    <w:basedOn w:val="7"/>
    <w:link w:val="2"/>
    <w:qFormat/>
    <w:uiPriority w:val="0"/>
    <w:rPr>
      <w:rFonts w:ascii="Calibri" w:hAnsi="Calibri"/>
      <w:b/>
      <w:bCs/>
      <w:kern w:val="44"/>
      <w:sz w:val="44"/>
      <w:szCs w:val="24"/>
      <w:lang w:eastAsia="en-US"/>
    </w:rPr>
  </w:style>
  <w:style w:type="character" w:customStyle="1" w:styleId="19">
    <w:name w:val="font11"/>
    <w:qFormat/>
    <w:uiPriority w:val="0"/>
    <w:rPr>
      <w:rFonts w:ascii="仿宋_GB2312" w:eastAsia="仿宋_GB2312" w:cs="仿宋_GB2312"/>
      <w:color w:val="000000"/>
      <w:sz w:val="18"/>
      <w:szCs w:val="18"/>
      <w:u w:val="none"/>
    </w:rPr>
  </w:style>
  <w:style w:type="character" w:customStyle="1" w:styleId="20">
    <w:name w:val="font141"/>
    <w:qFormat/>
    <w:uiPriority w:val="0"/>
    <w:rPr>
      <w:rFonts w:hint="default" w:ascii="Times New Roman" w:hAnsi="Times New Roman" w:cs="Times New Roman"/>
      <w:color w:val="000000"/>
      <w:sz w:val="18"/>
      <w:szCs w:val="18"/>
      <w:u w:val="none"/>
    </w:rPr>
  </w:style>
  <w:style w:type="character" w:customStyle="1" w:styleId="21">
    <w:name w:val="font112"/>
    <w:qFormat/>
    <w:uiPriority w:val="0"/>
    <w:rPr>
      <w:rFonts w:hint="eastAsia" w:ascii="宋体" w:hAnsi="宋体" w:eastAsia="宋体" w:cs="宋体"/>
      <w:color w:val="000000"/>
      <w:sz w:val="18"/>
      <w:szCs w:val="18"/>
      <w:u w:val="none"/>
    </w:rPr>
  </w:style>
  <w:style w:type="character" w:customStyle="1" w:styleId="22">
    <w:name w:val="u-job"/>
    <w:basedOn w:val="7"/>
    <w:qFormat/>
    <w:uiPriority w:val="0"/>
    <w:rPr>
      <w:color w:val="999999"/>
      <w:sz w:val="21"/>
      <w:szCs w:val="21"/>
    </w:rPr>
  </w:style>
  <w:style w:type="character" w:customStyle="1" w:styleId="23">
    <w:name w:val="arrup"/>
    <w:basedOn w:val="7"/>
    <w:qFormat/>
    <w:uiPriority w:val="0"/>
  </w:style>
  <w:style w:type="character" w:customStyle="1" w:styleId="24">
    <w:name w:val="tb09"/>
    <w:basedOn w:val="7"/>
    <w:qFormat/>
    <w:uiPriority w:val="0"/>
  </w:style>
  <w:style w:type="character" w:customStyle="1" w:styleId="25">
    <w:name w:val="tb03"/>
    <w:basedOn w:val="7"/>
    <w:qFormat/>
    <w:uiPriority w:val="0"/>
  </w:style>
  <w:style w:type="character" w:customStyle="1" w:styleId="26">
    <w:name w:val="tb05"/>
    <w:basedOn w:val="7"/>
    <w:qFormat/>
    <w:uiPriority w:val="0"/>
  </w:style>
  <w:style w:type="character" w:customStyle="1" w:styleId="27">
    <w:name w:val="tb14"/>
    <w:basedOn w:val="7"/>
    <w:qFormat/>
    <w:uiPriority w:val="0"/>
  </w:style>
  <w:style w:type="character" w:customStyle="1" w:styleId="28">
    <w:name w:val="tb31"/>
    <w:basedOn w:val="7"/>
    <w:qFormat/>
    <w:uiPriority w:val="0"/>
  </w:style>
  <w:style w:type="character" w:customStyle="1" w:styleId="29">
    <w:name w:val="tb28"/>
    <w:basedOn w:val="7"/>
    <w:qFormat/>
    <w:uiPriority w:val="0"/>
  </w:style>
  <w:style w:type="character" w:customStyle="1" w:styleId="30">
    <w:name w:val="tb13"/>
    <w:basedOn w:val="7"/>
    <w:qFormat/>
    <w:uiPriority w:val="0"/>
  </w:style>
  <w:style w:type="character" w:customStyle="1" w:styleId="31">
    <w:name w:val="tb36"/>
    <w:basedOn w:val="7"/>
    <w:qFormat/>
    <w:uiPriority w:val="0"/>
  </w:style>
  <w:style w:type="character" w:customStyle="1" w:styleId="32">
    <w:name w:val="tb26"/>
    <w:basedOn w:val="7"/>
    <w:qFormat/>
    <w:uiPriority w:val="0"/>
  </w:style>
  <w:style w:type="character" w:customStyle="1" w:styleId="33">
    <w:name w:val="tb23"/>
    <w:basedOn w:val="7"/>
    <w:qFormat/>
    <w:uiPriority w:val="0"/>
  </w:style>
  <w:style w:type="character" w:customStyle="1" w:styleId="34">
    <w:name w:val="tb07"/>
    <w:basedOn w:val="7"/>
    <w:qFormat/>
    <w:uiPriority w:val="0"/>
  </w:style>
  <w:style w:type="character" w:customStyle="1" w:styleId="35">
    <w:name w:val="tb32"/>
    <w:basedOn w:val="7"/>
    <w:qFormat/>
    <w:uiPriority w:val="0"/>
  </w:style>
  <w:style w:type="character" w:customStyle="1" w:styleId="36">
    <w:name w:val="tb25"/>
    <w:basedOn w:val="7"/>
    <w:qFormat/>
    <w:uiPriority w:val="0"/>
  </w:style>
  <w:style w:type="character" w:customStyle="1" w:styleId="37">
    <w:name w:val="tb12"/>
    <w:basedOn w:val="7"/>
    <w:qFormat/>
    <w:uiPriority w:val="0"/>
  </w:style>
  <w:style w:type="character" w:customStyle="1" w:styleId="38">
    <w:name w:val="tb15"/>
    <w:basedOn w:val="7"/>
    <w:qFormat/>
    <w:uiPriority w:val="0"/>
  </w:style>
  <w:style w:type="character" w:customStyle="1" w:styleId="39">
    <w:name w:val="m02"/>
    <w:basedOn w:val="7"/>
    <w:qFormat/>
    <w:uiPriority w:val="0"/>
  </w:style>
  <w:style w:type="character" w:customStyle="1" w:styleId="40">
    <w:name w:val="m021"/>
    <w:basedOn w:val="7"/>
    <w:qFormat/>
    <w:uiPriority w:val="0"/>
  </w:style>
  <w:style w:type="character" w:customStyle="1" w:styleId="41">
    <w:name w:val="m01"/>
    <w:basedOn w:val="7"/>
    <w:qFormat/>
    <w:uiPriority w:val="0"/>
  </w:style>
  <w:style w:type="character" w:customStyle="1" w:styleId="42">
    <w:name w:val="tb01"/>
    <w:basedOn w:val="7"/>
    <w:qFormat/>
    <w:uiPriority w:val="0"/>
  </w:style>
  <w:style w:type="character" w:customStyle="1" w:styleId="43">
    <w:name w:val="tb08"/>
    <w:basedOn w:val="7"/>
    <w:qFormat/>
    <w:uiPriority w:val="0"/>
  </w:style>
  <w:style w:type="character" w:customStyle="1" w:styleId="44">
    <w:name w:val="tb02"/>
    <w:basedOn w:val="7"/>
    <w:qFormat/>
    <w:uiPriority w:val="0"/>
  </w:style>
  <w:style w:type="character" w:customStyle="1" w:styleId="45">
    <w:name w:val="tb11"/>
    <w:basedOn w:val="7"/>
    <w:qFormat/>
    <w:uiPriority w:val="0"/>
  </w:style>
  <w:style w:type="character" w:customStyle="1" w:styleId="46">
    <w:name w:val="tb04"/>
    <w:basedOn w:val="7"/>
    <w:qFormat/>
    <w:uiPriority w:val="0"/>
  </w:style>
  <w:style w:type="character" w:customStyle="1" w:styleId="47">
    <w:name w:val="tb24"/>
    <w:basedOn w:val="7"/>
    <w:qFormat/>
    <w:uiPriority w:val="0"/>
  </w:style>
  <w:style w:type="character" w:customStyle="1" w:styleId="48">
    <w:name w:val="tb06"/>
    <w:basedOn w:val="7"/>
    <w:qFormat/>
    <w:uiPriority w:val="0"/>
  </w:style>
  <w:style w:type="character" w:customStyle="1" w:styleId="49">
    <w:name w:val="tb19"/>
    <w:basedOn w:val="7"/>
    <w:qFormat/>
    <w:uiPriority w:val="0"/>
  </w:style>
  <w:style w:type="character" w:customStyle="1" w:styleId="50">
    <w:name w:val="tb10"/>
    <w:basedOn w:val="7"/>
    <w:qFormat/>
    <w:uiPriority w:val="0"/>
  </w:style>
  <w:style w:type="character" w:customStyle="1" w:styleId="51">
    <w:name w:val="tb18"/>
    <w:basedOn w:val="7"/>
    <w:qFormat/>
    <w:uiPriority w:val="0"/>
  </w:style>
  <w:style w:type="character" w:customStyle="1" w:styleId="52">
    <w:name w:val="tb16"/>
    <w:basedOn w:val="7"/>
    <w:qFormat/>
    <w:uiPriority w:val="0"/>
  </w:style>
  <w:style w:type="character" w:customStyle="1" w:styleId="53">
    <w:name w:val="tb30"/>
    <w:basedOn w:val="7"/>
    <w:qFormat/>
    <w:uiPriority w:val="0"/>
  </w:style>
  <w:style w:type="character" w:customStyle="1" w:styleId="54">
    <w:name w:val="tb17"/>
    <w:basedOn w:val="7"/>
    <w:qFormat/>
    <w:uiPriority w:val="0"/>
  </w:style>
  <w:style w:type="character" w:customStyle="1" w:styleId="55">
    <w:name w:val="tb20"/>
    <w:basedOn w:val="7"/>
    <w:qFormat/>
    <w:uiPriority w:val="0"/>
  </w:style>
  <w:style w:type="character" w:customStyle="1" w:styleId="56">
    <w:name w:val="tb21"/>
    <w:basedOn w:val="7"/>
    <w:qFormat/>
    <w:uiPriority w:val="0"/>
  </w:style>
  <w:style w:type="character" w:customStyle="1" w:styleId="57">
    <w:name w:val="tb22"/>
    <w:basedOn w:val="7"/>
    <w:qFormat/>
    <w:uiPriority w:val="0"/>
  </w:style>
  <w:style w:type="character" w:customStyle="1" w:styleId="58">
    <w:name w:val="tb27"/>
    <w:basedOn w:val="7"/>
    <w:qFormat/>
    <w:uiPriority w:val="0"/>
  </w:style>
  <w:style w:type="character" w:customStyle="1" w:styleId="59">
    <w:name w:val="tb29"/>
    <w:basedOn w:val="7"/>
    <w:qFormat/>
    <w:uiPriority w:val="0"/>
  </w:style>
  <w:style w:type="character" w:customStyle="1" w:styleId="60">
    <w:name w:val="tb33"/>
    <w:basedOn w:val="7"/>
    <w:qFormat/>
    <w:uiPriority w:val="0"/>
  </w:style>
  <w:style w:type="character" w:customStyle="1" w:styleId="61">
    <w:name w:val="tb34"/>
    <w:basedOn w:val="7"/>
    <w:qFormat/>
    <w:uiPriority w:val="0"/>
  </w:style>
  <w:style w:type="character" w:customStyle="1" w:styleId="62">
    <w:name w:val="tb35"/>
    <w:basedOn w:val="7"/>
    <w:qFormat/>
    <w:uiPriority w:val="0"/>
  </w:style>
  <w:style w:type="character" w:customStyle="1" w:styleId="63">
    <w:name w:val="on"/>
    <w:basedOn w:val="7"/>
    <w:qFormat/>
    <w:uiPriority w:val="0"/>
  </w:style>
  <w:style w:type="character" w:customStyle="1" w:styleId="64">
    <w:name w:val="bds_more"/>
    <w:basedOn w:val="7"/>
    <w:qFormat/>
    <w:uiPriority w:val="0"/>
  </w:style>
  <w:style w:type="character" w:customStyle="1" w:styleId="65">
    <w:name w:val="bds_more1"/>
    <w:basedOn w:val="7"/>
    <w:qFormat/>
    <w:uiPriority w:val="0"/>
  </w:style>
  <w:style w:type="character" w:customStyle="1" w:styleId="66">
    <w:name w:val="m04"/>
    <w:basedOn w:val="7"/>
    <w:qFormat/>
    <w:uiPriority w:val="0"/>
  </w:style>
  <w:style w:type="character" w:customStyle="1" w:styleId="67">
    <w:name w:val="m041"/>
    <w:basedOn w:val="7"/>
    <w:qFormat/>
    <w:uiPriority w:val="0"/>
  </w:style>
  <w:style w:type="character" w:customStyle="1" w:styleId="68">
    <w:name w:val="bds_nopic"/>
    <w:basedOn w:val="7"/>
    <w:qFormat/>
    <w:uiPriority w:val="0"/>
  </w:style>
  <w:style w:type="character" w:customStyle="1" w:styleId="69">
    <w:name w:val="bds_nopic1"/>
    <w:basedOn w:val="7"/>
    <w:qFormat/>
    <w:uiPriority w:val="0"/>
  </w:style>
  <w:style w:type="character" w:customStyle="1" w:styleId="70">
    <w:name w:val="bds_nopic2"/>
    <w:basedOn w:val="7"/>
    <w:qFormat/>
    <w:uiPriority w:val="0"/>
  </w:style>
  <w:style w:type="character" w:customStyle="1" w:styleId="71">
    <w:name w:val="m03"/>
    <w:basedOn w:val="7"/>
    <w:qFormat/>
    <w:uiPriority w:val="0"/>
  </w:style>
  <w:style w:type="character" w:customStyle="1" w:styleId="72">
    <w:name w:val="m031"/>
    <w:basedOn w:val="7"/>
    <w:qFormat/>
    <w:uiPriority w:val="0"/>
  </w:style>
  <w:style w:type="character" w:customStyle="1" w:styleId="73">
    <w:name w:val="m05"/>
    <w:basedOn w:val="7"/>
    <w:qFormat/>
    <w:uiPriority w:val="0"/>
  </w:style>
  <w:style w:type="character" w:customStyle="1" w:styleId="74">
    <w:name w:val="m051"/>
    <w:basedOn w:val="7"/>
    <w:qFormat/>
    <w:uiPriority w:val="0"/>
  </w:style>
  <w:style w:type="character" w:customStyle="1" w:styleId="75">
    <w:name w:val="m06"/>
    <w:basedOn w:val="7"/>
    <w:qFormat/>
    <w:uiPriority w:val="0"/>
  </w:style>
  <w:style w:type="character" w:customStyle="1" w:styleId="76">
    <w:name w:val="m061"/>
    <w:basedOn w:val="7"/>
    <w:qFormat/>
    <w:uiPriority w:val="0"/>
  </w:style>
  <w:style w:type="character" w:customStyle="1" w:styleId="77">
    <w:name w:val="page_prev"/>
    <w:basedOn w:val="7"/>
    <w:qFormat/>
    <w:uiPriority w:val="0"/>
  </w:style>
  <w:style w:type="character" w:customStyle="1" w:styleId="78">
    <w:name w:val="page_next"/>
    <w:basedOn w:val="7"/>
    <w:qFormat/>
    <w:uiPriority w:val="0"/>
  </w:style>
  <w:style w:type="character" w:customStyle="1" w:styleId="79">
    <w:name w:val="hover38"/>
    <w:basedOn w:val="7"/>
    <w:qFormat/>
    <w:uiPriority w:val="0"/>
    <w:rPr>
      <w:color w:val="FFFFFF"/>
    </w:rPr>
  </w:style>
  <w:style w:type="character" w:customStyle="1" w:styleId="80">
    <w:name w:val="active2"/>
    <w:basedOn w:val="7"/>
    <w:qFormat/>
    <w:uiPriority w:val="0"/>
    <w:rPr>
      <w:color w:val="FFFFFF"/>
    </w:rPr>
  </w:style>
  <w:style w:type="character" w:customStyle="1" w:styleId="81">
    <w:name w:val="bds_more2"/>
    <w:basedOn w:val="7"/>
    <w:qFormat/>
    <w:uiPriority w:val="0"/>
  </w:style>
  <w:style w:type="character" w:customStyle="1" w:styleId="82">
    <w:name w:val="active27"/>
    <w:basedOn w:val="7"/>
    <w:qFormat/>
    <w:uiPriority w:val="0"/>
    <w:rPr>
      <w:color w:va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6</TotalTime>
  <ScaleCrop>false</ScaleCrop>
  <LinksUpToDate>false</LinksUpToDate>
  <CharactersWithSpaces>4776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小懒虫</cp:lastModifiedBy>
  <cp:lastPrinted>2020-12-04T07:16:19Z</cp:lastPrinted>
  <dcterms:modified xsi:type="dcterms:W3CDTF">2020-12-04T09:34:29Z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